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21A" w:rsidRDefault="005B7952" w:rsidP="009D6B3F">
      <w:pPr>
        <w:autoSpaceDE w:val="0"/>
        <w:autoSpaceDN w:val="0"/>
        <w:adjustRightInd w:val="0"/>
        <w:spacing w:after="0" w:line="240" w:lineRule="auto"/>
        <w:jc w:val="center"/>
        <w:rPr>
          <w:rFonts w:ascii="Adelle Sans" w:hAnsi="Adelle Sans" w:cs="HelveticaNeueLTStd-Bd"/>
          <w:b/>
          <w:bCs/>
          <w:sz w:val="23"/>
          <w:szCs w:val="23"/>
        </w:rPr>
      </w:pPr>
      <w:r w:rsidRPr="006E770B">
        <w:rPr>
          <w:rFonts w:ascii="Adelle Sans" w:hAnsi="Adelle Sans" w:cs="HelveticaNeueLTStd-Bd"/>
          <w:b/>
          <w:bCs/>
          <w:sz w:val="23"/>
          <w:szCs w:val="23"/>
        </w:rPr>
        <w:t xml:space="preserve">Provisional </w:t>
      </w:r>
      <w:r>
        <w:rPr>
          <w:rFonts w:ascii="Adelle Sans" w:hAnsi="Adelle Sans" w:cs="HelveticaNeueLTStd-Bd"/>
          <w:b/>
          <w:bCs/>
          <w:sz w:val="23"/>
          <w:szCs w:val="23"/>
        </w:rPr>
        <w:t xml:space="preserve">&amp; Readable </w:t>
      </w:r>
      <w:r w:rsidRPr="006E770B">
        <w:rPr>
          <w:rFonts w:ascii="Adelle Sans" w:hAnsi="Adelle Sans" w:cs="HelveticaNeueLTStd-Bd"/>
          <w:b/>
          <w:bCs/>
          <w:sz w:val="23"/>
          <w:szCs w:val="23"/>
        </w:rPr>
        <w:t>Writing Tools</w:t>
      </w:r>
      <w:r>
        <w:rPr>
          <w:rFonts w:ascii="Adelle Sans" w:hAnsi="Adelle Sans" w:cs="HelveticaNeueLTStd-Bd"/>
          <w:b/>
          <w:bCs/>
          <w:sz w:val="23"/>
          <w:szCs w:val="23"/>
        </w:rPr>
        <w:t xml:space="preserve"> for</w:t>
      </w:r>
      <w:r>
        <w:rPr>
          <w:rFonts w:ascii="Adelle Sans" w:hAnsi="Adelle Sans" w:cs="HelveticaNeueLTStd-Bd"/>
          <w:b/>
          <w:bCs/>
          <w:sz w:val="23"/>
          <w:szCs w:val="23"/>
        </w:rPr>
        <w:t xml:space="preserve"> Assessment</w:t>
      </w:r>
      <w:r>
        <w:rPr>
          <w:rFonts w:ascii="Adelle Sans" w:hAnsi="Adelle Sans" w:cs="HelveticaNeueLTStd-Bd"/>
          <w:b/>
          <w:bCs/>
          <w:sz w:val="23"/>
          <w:szCs w:val="23"/>
        </w:rPr>
        <w:t xml:space="preserve"> and Instruction</w:t>
      </w:r>
      <w:r w:rsidR="000B121A">
        <w:rPr>
          <w:noProof/>
        </w:rPr>
        <mc:AlternateContent>
          <mc:Choice Requires="wps">
            <w:drawing>
              <wp:anchor distT="0" distB="0" distL="114300" distR="114300" simplePos="0" relativeHeight="251662336" behindDoc="0" locked="0" layoutInCell="1" allowOverlap="1">
                <wp:simplePos x="0" y="0"/>
                <wp:positionH relativeFrom="column">
                  <wp:posOffset>5810250</wp:posOffset>
                </wp:positionH>
                <wp:positionV relativeFrom="paragraph">
                  <wp:posOffset>-76200</wp:posOffset>
                </wp:positionV>
                <wp:extent cx="1333500" cy="9525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333500" cy="952500"/>
                        </a:xfrm>
                        <a:prstGeom prst="rect">
                          <a:avLst/>
                        </a:prstGeom>
                        <a:solidFill>
                          <a:schemeClr val="lt1"/>
                        </a:solidFill>
                        <a:ln w="6350">
                          <a:noFill/>
                        </a:ln>
                      </wps:spPr>
                      <wps:txbx>
                        <w:txbxContent>
                          <w:p w:rsidR="000B121A" w:rsidRDefault="000B12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7" type="#_x0000_t202" style="position:absolute;left:0;text-align:left;margin-left:457.5pt;margin-top:-6pt;width:105pt;height: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c2PwIAAIIEAAAOAAAAZHJzL2Uyb0RvYy54bWysVE1vGjEQvVfqf7B8L8tX0gSxRDQRVSWU&#10;RIIqZ+P1wkpej2sbdumv77MXEpr2VPXinS8/z7yZ2eldW2t2UM5XZHI+6PU5U0ZSUZltzr+vF59u&#10;OPNBmEJoMirnR+X53ezjh2ljJ2pIO9KFcgwgxk8am/NdCHaSZV7uVC18j6wycJbkahGgum1WONEA&#10;vdbZsN+/zhpyhXUklfewPnROPkv4ZalkeCpLrwLTOUduIZ0unZt4ZrOpmGydsLtKntIQ/5BFLSqD&#10;R1+hHkQQbO+qP6DqSjryVIaepDqjsqykSjWgmkH/XTWrnbAq1QJyvH2lyf8/WPl4eHasKtA70GNE&#10;jR6tVRvYF2oZTOCnsX6CsJVFYGhhR+zZ7mGMZbelq+MXBTH4AXV8ZTeiyXhpNBpd9eGS8N1eDaMM&#10;+OzttnU+fFVUsyjk3KF7iVRxWPrQhZ5D4mOedFUsKq2TEidG3WvHDgK91iHlCPDforRhTc6vkUcC&#10;NhSvd8jaIJdYa1dTlEK7aTtuzvVuqDiCBkfdIHkrFxVyXQofnoXD5KA8bEN4wlFqwlt0kjjbkfv5&#10;N3uMR0Ph5azBJObc/9gLpzjT3wxafTsYjwEbkjK++jyE4i49m0uP2df3BAIG2Dsrkxjjgz6LpaP6&#10;BUszj6/CJYzE2zkPZ/E+dPuBpZNqPk9BGFYrwtKsrIzQkfDYiXX7Ipw9tSug0Y90nlkxede1Ljbe&#10;NDTfByqr1NLIc8fqiX4MehqK01LGTbrUU9Tbr2P2CwAA//8DAFBLAwQUAAYACAAAACEAZEYNM+EA&#10;AAAMAQAADwAAAGRycy9kb3ducmV2LnhtbEyPS0/EMAyE70j8h8hIXNBu+tDCUpquEOIhcWPLQ9yy&#10;jWkrGqdqsm3597gnuI3t0fibfDfbTow4+NaRgngdgUCqnGmpVvBaPqy2IHzQZHTnCBX8oIddcXqS&#10;68y4iV5w3IdacAj5TCtoQugzKX3VoNV+7Xokvn25werA41BLM+iJw20nkyi6lFa3xB8a3eNdg9X3&#10;/mgVfF7UH89+fnyb0k3a3z+N5dW7KZU6P5tvb0AEnMOfGRZ8RoeCmQ7uSMaLTsF1vOEuQcEqTlgs&#10;jjhZVgdW6TYCWeTyf4niFwAA//8DAFBLAQItABQABgAIAAAAIQC2gziS/gAAAOEBAAATAAAAAAAA&#10;AAAAAAAAAAAAAABbQ29udGVudF9UeXBlc10ueG1sUEsBAi0AFAAGAAgAAAAhADj9If/WAAAAlAEA&#10;AAsAAAAAAAAAAAAAAAAALwEAAF9yZWxzLy5yZWxzUEsBAi0AFAAGAAgAAAAhAN0/VzY/AgAAggQA&#10;AA4AAAAAAAAAAAAAAAAALgIAAGRycy9lMm9Eb2MueG1sUEsBAi0AFAAGAAgAAAAhAGRGDTPhAAAA&#10;DAEAAA8AAAAAAAAAAAAAAAAAmQQAAGRycy9kb3ducmV2LnhtbFBLBQYAAAAABAAEAPMAAACnBQAA&#10;AAA=&#10;" fillcolor="white [3201]" stroked="f" strokeweight=".5pt">
                <v:textbox>
                  <w:txbxContent>
                    <w:p w:rsidR="000B121A" w:rsidRDefault="000B121A"/>
                  </w:txbxContent>
                </v:textbox>
              </v:shape>
            </w:pict>
          </mc:Fallback>
        </mc:AlternateContent>
      </w:r>
    </w:p>
    <w:p w:rsidR="000B121A" w:rsidRDefault="000B121A" w:rsidP="00573942">
      <w:pPr>
        <w:autoSpaceDE w:val="0"/>
        <w:autoSpaceDN w:val="0"/>
        <w:adjustRightInd w:val="0"/>
        <w:spacing w:after="0" w:line="240" w:lineRule="auto"/>
        <w:jc w:val="center"/>
        <w:rPr>
          <w:rFonts w:ascii="Adelle Sans" w:hAnsi="Adelle Sans" w:cs="HelveticaNeueLTStd-Bd"/>
          <w:b/>
          <w:bCs/>
          <w:sz w:val="23"/>
          <w:szCs w:val="23"/>
        </w:rPr>
      </w:pPr>
    </w:p>
    <w:p w:rsidR="000B121A" w:rsidRDefault="000B121A" w:rsidP="00573942">
      <w:pPr>
        <w:autoSpaceDE w:val="0"/>
        <w:autoSpaceDN w:val="0"/>
        <w:adjustRightInd w:val="0"/>
        <w:spacing w:after="0" w:line="240" w:lineRule="auto"/>
        <w:jc w:val="center"/>
        <w:rPr>
          <w:rFonts w:ascii="Adelle Sans" w:hAnsi="Adelle Sans" w:cs="HelveticaNeueLTStd-Bd"/>
          <w:b/>
          <w:bCs/>
          <w:sz w:val="23"/>
          <w:szCs w:val="23"/>
        </w:rPr>
      </w:pPr>
    </w:p>
    <w:p w:rsidR="00501054" w:rsidRDefault="00501054" w:rsidP="00573942">
      <w:pPr>
        <w:autoSpaceDE w:val="0"/>
        <w:autoSpaceDN w:val="0"/>
        <w:adjustRightInd w:val="0"/>
        <w:spacing w:after="0" w:line="240" w:lineRule="auto"/>
        <w:jc w:val="center"/>
        <w:rPr>
          <w:rFonts w:ascii="Adelle Sans" w:hAnsi="Adelle Sans" w:cs="HelveticaNeueLTStd-Bd"/>
          <w:b/>
          <w:bCs/>
          <w:sz w:val="23"/>
          <w:szCs w:val="23"/>
        </w:rPr>
      </w:pPr>
      <w:r w:rsidRPr="006E770B">
        <w:rPr>
          <w:rFonts w:ascii="Adelle Sans" w:hAnsi="Adelle Sans" w:cs="HelveticaNeueLTStd-Bd"/>
          <w:b/>
          <w:bCs/>
          <w:sz w:val="23"/>
          <w:szCs w:val="23"/>
        </w:rPr>
        <w:t>Perini, M. and Silver, H.F. (2012). The core six: Essential strategies for achieving excellence with the common core. Alexandria, VA: Association for Supervision &amp; Curriculum Development (ASCD).</w:t>
      </w:r>
    </w:p>
    <w:p w:rsidR="000B121A" w:rsidRPr="006E770B" w:rsidRDefault="000B121A" w:rsidP="000B121A">
      <w:pPr>
        <w:autoSpaceDE w:val="0"/>
        <w:autoSpaceDN w:val="0"/>
        <w:adjustRightInd w:val="0"/>
        <w:spacing w:after="0" w:line="240" w:lineRule="auto"/>
        <w:rPr>
          <w:rFonts w:ascii="Adelle Sans" w:hAnsi="Adelle Sans" w:cs="HelveticaNeueLTStd-Bd"/>
          <w:b/>
          <w:bCs/>
          <w:sz w:val="23"/>
          <w:szCs w:val="23"/>
        </w:rPr>
      </w:pPr>
    </w:p>
    <w:p w:rsidR="00971AF7" w:rsidRPr="006E770B" w:rsidRDefault="00971AF7" w:rsidP="00971AF7">
      <w:pPr>
        <w:autoSpaceDE w:val="0"/>
        <w:autoSpaceDN w:val="0"/>
        <w:adjustRightInd w:val="0"/>
        <w:spacing w:after="0" w:line="240" w:lineRule="auto"/>
        <w:rPr>
          <w:rFonts w:ascii="Adelle Sans" w:hAnsi="Adelle Sans" w:cs="HelveticaNeueLTStd-Bd"/>
          <w:b/>
          <w:bCs/>
          <w:sz w:val="23"/>
          <w:szCs w:val="23"/>
        </w:rPr>
      </w:pPr>
    </w:p>
    <w:p w:rsidR="00497213" w:rsidRPr="00497213" w:rsidRDefault="00497213" w:rsidP="00497213">
      <w:pPr>
        <w:autoSpaceDE w:val="0"/>
        <w:autoSpaceDN w:val="0"/>
        <w:adjustRightInd w:val="0"/>
        <w:spacing w:after="0" w:line="240" w:lineRule="auto"/>
        <w:rPr>
          <w:rFonts w:ascii="Adelle Sans" w:hAnsi="Adelle Sans" w:cs="HelveticaNeueLTStd-Bd"/>
          <w:bCs/>
          <w:sz w:val="23"/>
          <w:szCs w:val="23"/>
        </w:rPr>
      </w:pPr>
      <w:proofErr w:type="spellStart"/>
      <w:r>
        <w:rPr>
          <w:rFonts w:ascii="Adelle Sans" w:hAnsi="Adelle Sans" w:cs="HelveticaNeueLTStd-Bd"/>
          <w:bCs/>
          <w:sz w:val="23"/>
          <w:szCs w:val="23"/>
        </w:rPr>
        <w:t>Quickwrites</w:t>
      </w:r>
      <w:proofErr w:type="spellEnd"/>
      <w:r>
        <w:rPr>
          <w:rFonts w:ascii="Adelle Sans" w:hAnsi="Adelle Sans" w:cs="HelveticaNeueLTStd-Bd"/>
          <w:bCs/>
          <w:sz w:val="23"/>
          <w:szCs w:val="23"/>
        </w:rPr>
        <w:t xml:space="preserve"> and </w:t>
      </w:r>
      <w:r w:rsidR="00FB786A">
        <w:rPr>
          <w:rFonts w:ascii="Adelle Sans" w:hAnsi="Adelle Sans" w:cs="HelveticaNeueLTStd-Bd"/>
          <w:bCs/>
          <w:sz w:val="23"/>
          <w:szCs w:val="23"/>
        </w:rPr>
        <w:t>Learning Logs are</w:t>
      </w:r>
      <w:r w:rsidR="00971AF7" w:rsidRPr="006E770B">
        <w:rPr>
          <w:rFonts w:ascii="Adelle Sans" w:hAnsi="Adelle Sans" w:cs="HelveticaNeueLTStd-Bd"/>
          <w:bCs/>
          <w:sz w:val="23"/>
          <w:szCs w:val="23"/>
        </w:rPr>
        <w:t xml:space="preserve"> ideal formative a</w:t>
      </w:r>
      <w:r>
        <w:rPr>
          <w:rFonts w:ascii="Adelle Sans" w:hAnsi="Adelle Sans" w:cs="HelveticaNeueLTStd-Bd"/>
          <w:bCs/>
          <w:sz w:val="23"/>
          <w:szCs w:val="23"/>
        </w:rPr>
        <w:t xml:space="preserve">ssessment tools, giving instructors </w:t>
      </w:r>
      <w:r w:rsidR="00971AF7" w:rsidRPr="006E770B">
        <w:rPr>
          <w:rFonts w:ascii="Adelle Sans" w:hAnsi="Adelle Sans" w:cs="HelveticaNeueLTStd-Bd"/>
          <w:bCs/>
          <w:sz w:val="23"/>
          <w:szCs w:val="23"/>
        </w:rPr>
        <w:t>insight into w</w:t>
      </w:r>
      <w:r>
        <w:rPr>
          <w:rFonts w:ascii="Adelle Sans" w:hAnsi="Adelle Sans" w:cs="HelveticaNeueLTStd-Bd"/>
          <w:bCs/>
          <w:sz w:val="23"/>
          <w:szCs w:val="23"/>
        </w:rPr>
        <w:t>hat students know and where they are in the process of making meaning of course content</w:t>
      </w:r>
      <w:r w:rsidR="00971AF7" w:rsidRPr="006E770B">
        <w:rPr>
          <w:rFonts w:ascii="Adelle Sans" w:hAnsi="Adelle Sans" w:cs="HelveticaNeueLTStd-Bd"/>
          <w:bCs/>
          <w:sz w:val="23"/>
          <w:szCs w:val="23"/>
        </w:rPr>
        <w:t xml:space="preserve">. </w:t>
      </w:r>
      <w:r>
        <w:rPr>
          <w:rFonts w:ascii="Adelle Sans" w:hAnsi="Adelle Sans" w:cs="HelveticaNeueLTStd-Bd"/>
          <w:bCs/>
          <w:sz w:val="23"/>
          <w:szCs w:val="23"/>
        </w:rPr>
        <w:t xml:space="preserve"> These approaches are categorized as </w:t>
      </w:r>
      <w:r w:rsidRPr="00497213">
        <w:rPr>
          <w:rFonts w:ascii="Adelle Sans" w:hAnsi="Adelle Sans" w:cs="HelveticaNeueLTStd-Bd"/>
          <w:b/>
          <w:bCs/>
          <w:sz w:val="23"/>
          <w:szCs w:val="23"/>
        </w:rPr>
        <w:t>provisional writing:</w:t>
      </w:r>
      <w:r w:rsidRPr="00497213">
        <w:rPr>
          <w:rFonts w:ascii="Adelle Sans" w:hAnsi="Adelle Sans" w:cs="HelveticaNeueLTStd-Bd"/>
          <w:bCs/>
          <w:sz w:val="23"/>
          <w:szCs w:val="23"/>
        </w:rPr>
        <w:t xml:space="preserve">  brief, frequent w</w:t>
      </w:r>
      <w:r>
        <w:rPr>
          <w:rFonts w:ascii="Adelle Sans" w:hAnsi="Adelle Sans" w:cs="HelveticaNeueLTStd-Bd"/>
          <w:bCs/>
          <w:sz w:val="23"/>
          <w:szCs w:val="23"/>
        </w:rPr>
        <w:t>riting that supports learning. Typically, s</w:t>
      </w:r>
      <w:r w:rsidRPr="00497213">
        <w:rPr>
          <w:rFonts w:ascii="Adelle Sans" w:hAnsi="Adelle Sans" w:cs="HelveticaNeueLTStd-Bd"/>
          <w:bCs/>
          <w:sz w:val="23"/>
          <w:szCs w:val="23"/>
        </w:rPr>
        <w:t xml:space="preserve">tudents write spontaneously for two to five minutes to generate, clarify, or extend ideas or to react to important content. </w:t>
      </w:r>
    </w:p>
    <w:p w:rsidR="00497213" w:rsidRDefault="00497213" w:rsidP="00497213">
      <w:pPr>
        <w:autoSpaceDE w:val="0"/>
        <w:autoSpaceDN w:val="0"/>
        <w:adjustRightInd w:val="0"/>
        <w:spacing w:after="0" w:line="240" w:lineRule="auto"/>
        <w:rPr>
          <w:rFonts w:ascii="Adelle Sans" w:hAnsi="Adelle Sans" w:cs="HelveticaNeueLTStd-Bd"/>
          <w:bCs/>
          <w:sz w:val="23"/>
          <w:szCs w:val="23"/>
        </w:rPr>
      </w:pPr>
    </w:p>
    <w:p w:rsidR="009D6B3F" w:rsidRPr="00497213" w:rsidRDefault="009D6B3F" w:rsidP="00497213">
      <w:pPr>
        <w:autoSpaceDE w:val="0"/>
        <w:autoSpaceDN w:val="0"/>
        <w:adjustRightInd w:val="0"/>
        <w:spacing w:after="0" w:line="240" w:lineRule="auto"/>
        <w:rPr>
          <w:rFonts w:ascii="Adelle Sans" w:hAnsi="Adelle Sans" w:cs="HelveticaNeueLTStd-Bd"/>
          <w:bCs/>
          <w:sz w:val="23"/>
          <w:szCs w:val="23"/>
        </w:rPr>
      </w:pPr>
    </w:p>
    <w:p w:rsidR="00497213" w:rsidRPr="00497213" w:rsidRDefault="009D6B3F" w:rsidP="00497213">
      <w:pPr>
        <w:autoSpaceDE w:val="0"/>
        <w:autoSpaceDN w:val="0"/>
        <w:adjustRightInd w:val="0"/>
        <w:spacing w:after="0" w:line="240" w:lineRule="auto"/>
        <w:rPr>
          <w:rFonts w:ascii="Adelle Sans" w:hAnsi="Adelle Sans" w:cs="HelveticaNeueLTStd-Bd"/>
          <w:bCs/>
          <w:sz w:val="23"/>
          <w:szCs w:val="23"/>
        </w:rPr>
      </w:pPr>
      <w:proofErr w:type="spellStart"/>
      <w:r w:rsidRPr="009D6B3F">
        <w:rPr>
          <w:rFonts w:ascii="Adelle Sans" w:hAnsi="Adelle Sans" w:cs="HelveticaNeueLTStd-Bd"/>
          <w:bCs/>
          <w:sz w:val="23"/>
          <w:szCs w:val="23"/>
        </w:rPr>
        <w:t>Quickwrites</w:t>
      </w:r>
      <w:proofErr w:type="spellEnd"/>
      <w:r w:rsidRPr="009D6B3F">
        <w:rPr>
          <w:rFonts w:ascii="Adelle Sans" w:hAnsi="Adelle Sans" w:cs="HelveticaNeueLTStd-Bd"/>
          <w:bCs/>
          <w:sz w:val="23"/>
          <w:szCs w:val="23"/>
        </w:rPr>
        <w:t xml:space="preserve"> and Learning Logs </w:t>
      </w:r>
      <w:r>
        <w:rPr>
          <w:rFonts w:ascii="Adelle Sans" w:hAnsi="Adelle Sans" w:cs="HelveticaNeueLTStd-Bd"/>
          <w:bCs/>
          <w:sz w:val="23"/>
          <w:szCs w:val="23"/>
        </w:rPr>
        <w:t xml:space="preserve">can </w:t>
      </w:r>
      <w:r w:rsidR="00497213" w:rsidRPr="00497213">
        <w:rPr>
          <w:rFonts w:ascii="Adelle Sans" w:hAnsi="Adelle Sans" w:cs="HelveticaNeueLTStd-Bd"/>
          <w:bCs/>
          <w:sz w:val="23"/>
          <w:szCs w:val="23"/>
        </w:rPr>
        <w:t xml:space="preserve">be used to </w:t>
      </w:r>
    </w:p>
    <w:p w:rsidR="00497213" w:rsidRPr="00497213" w:rsidRDefault="00497213" w:rsidP="00497213">
      <w:pPr>
        <w:pStyle w:val="ListParagraph"/>
        <w:numPr>
          <w:ilvl w:val="0"/>
          <w:numId w:val="6"/>
        </w:numPr>
        <w:autoSpaceDE w:val="0"/>
        <w:autoSpaceDN w:val="0"/>
        <w:adjustRightInd w:val="0"/>
        <w:spacing w:after="0" w:line="240" w:lineRule="auto"/>
        <w:rPr>
          <w:rFonts w:ascii="Adelle Sans" w:hAnsi="Adelle Sans" w:cs="HelveticaNeueLTStd-Bd"/>
          <w:bCs/>
          <w:sz w:val="23"/>
          <w:szCs w:val="23"/>
        </w:rPr>
      </w:pPr>
      <w:r w:rsidRPr="00497213">
        <w:rPr>
          <w:rFonts w:ascii="Adelle Sans" w:hAnsi="Adelle Sans" w:cs="HelveticaNeueLTStd-Bd"/>
          <w:bCs/>
          <w:sz w:val="23"/>
          <w:szCs w:val="23"/>
        </w:rPr>
        <w:t xml:space="preserve">capture learner interest </w:t>
      </w:r>
    </w:p>
    <w:p w:rsidR="00497213" w:rsidRPr="00497213" w:rsidRDefault="00497213" w:rsidP="00497213">
      <w:pPr>
        <w:pStyle w:val="ListParagraph"/>
        <w:numPr>
          <w:ilvl w:val="0"/>
          <w:numId w:val="6"/>
        </w:numPr>
        <w:autoSpaceDE w:val="0"/>
        <w:autoSpaceDN w:val="0"/>
        <w:adjustRightInd w:val="0"/>
        <w:spacing w:after="0" w:line="240" w:lineRule="auto"/>
        <w:rPr>
          <w:rFonts w:ascii="Adelle Sans" w:hAnsi="Adelle Sans" w:cs="HelveticaNeueLTStd-Bd"/>
          <w:bCs/>
          <w:sz w:val="23"/>
          <w:szCs w:val="23"/>
        </w:rPr>
      </w:pPr>
      <w:r w:rsidRPr="00497213">
        <w:rPr>
          <w:rFonts w:ascii="Adelle Sans" w:hAnsi="Adelle Sans" w:cs="HelveticaNeueLTStd-Bd"/>
          <w:bCs/>
          <w:sz w:val="23"/>
          <w:szCs w:val="23"/>
        </w:rPr>
        <w:t xml:space="preserve">draw out prior knowledge </w:t>
      </w:r>
    </w:p>
    <w:p w:rsidR="00497213" w:rsidRPr="00497213" w:rsidRDefault="00497213" w:rsidP="00497213">
      <w:pPr>
        <w:pStyle w:val="ListParagraph"/>
        <w:numPr>
          <w:ilvl w:val="0"/>
          <w:numId w:val="6"/>
        </w:numPr>
        <w:autoSpaceDE w:val="0"/>
        <w:autoSpaceDN w:val="0"/>
        <w:adjustRightInd w:val="0"/>
        <w:spacing w:after="0" w:line="240" w:lineRule="auto"/>
        <w:rPr>
          <w:rFonts w:ascii="Adelle Sans" w:hAnsi="Adelle Sans" w:cs="HelveticaNeueLTStd-Bd"/>
          <w:bCs/>
          <w:sz w:val="23"/>
          <w:szCs w:val="23"/>
        </w:rPr>
      </w:pPr>
      <w:r w:rsidRPr="00497213">
        <w:rPr>
          <w:rFonts w:ascii="Adelle Sans" w:hAnsi="Adelle Sans" w:cs="HelveticaNeueLTStd-Bd"/>
          <w:bCs/>
          <w:sz w:val="23"/>
          <w:szCs w:val="23"/>
        </w:rPr>
        <w:t xml:space="preserve">review and check understanding of content </w:t>
      </w:r>
    </w:p>
    <w:p w:rsidR="00497213" w:rsidRPr="00497213" w:rsidRDefault="00497213" w:rsidP="00497213">
      <w:pPr>
        <w:pStyle w:val="ListParagraph"/>
        <w:numPr>
          <w:ilvl w:val="0"/>
          <w:numId w:val="6"/>
        </w:numPr>
        <w:autoSpaceDE w:val="0"/>
        <w:autoSpaceDN w:val="0"/>
        <w:adjustRightInd w:val="0"/>
        <w:spacing w:after="0" w:line="240" w:lineRule="auto"/>
        <w:rPr>
          <w:rFonts w:ascii="Adelle Sans" w:hAnsi="Adelle Sans" w:cs="HelveticaNeueLTStd-Bd"/>
          <w:bCs/>
          <w:sz w:val="23"/>
          <w:szCs w:val="23"/>
        </w:rPr>
      </w:pPr>
      <w:r w:rsidRPr="00497213">
        <w:rPr>
          <w:rFonts w:ascii="Adelle Sans" w:hAnsi="Adelle Sans" w:cs="HelveticaNeueLTStd-Bd"/>
          <w:bCs/>
          <w:sz w:val="23"/>
          <w:szCs w:val="23"/>
        </w:rPr>
        <w:t>provoke thinking</w:t>
      </w:r>
    </w:p>
    <w:p w:rsidR="00497213" w:rsidRPr="00497213" w:rsidRDefault="00497213" w:rsidP="00497213">
      <w:pPr>
        <w:pStyle w:val="ListParagraph"/>
        <w:numPr>
          <w:ilvl w:val="0"/>
          <w:numId w:val="6"/>
        </w:numPr>
        <w:autoSpaceDE w:val="0"/>
        <w:autoSpaceDN w:val="0"/>
        <w:adjustRightInd w:val="0"/>
        <w:spacing w:after="0" w:line="240" w:lineRule="auto"/>
        <w:rPr>
          <w:rFonts w:ascii="Adelle Sans" w:hAnsi="Adelle Sans" w:cs="HelveticaNeueLTStd-Bd"/>
          <w:bCs/>
          <w:sz w:val="23"/>
          <w:szCs w:val="23"/>
        </w:rPr>
      </w:pPr>
      <w:r w:rsidRPr="00497213">
        <w:rPr>
          <w:rFonts w:ascii="Adelle Sans" w:hAnsi="Adelle Sans" w:cs="HelveticaNeueLTStd-Bd"/>
          <w:bCs/>
          <w:sz w:val="23"/>
          <w:szCs w:val="23"/>
        </w:rPr>
        <w:t>spur reflection</w:t>
      </w:r>
    </w:p>
    <w:p w:rsidR="00497213" w:rsidRDefault="00497213" w:rsidP="00497213">
      <w:pPr>
        <w:autoSpaceDE w:val="0"/>
        <w:autoSpaceDN w:val="0"/>
        <w:adjustRightInd w:val="0"/>
        <w:spacing w:after="0" w:line="240" w:lineRule="auto"/>
        <w:rPr>
          <w:rFonts w:ascii="Adelle Sans" w:hAnsi="Adelle Sans" w:cs="HelveticaNeueLTStd-Bd"/>
          <w:bCs/>
          <w:sz w:val="23"/>
          <w:szCs w:val="23"/>
        </w:rPr>
      </w:pPr>
    </w:p>
    <w:p w:rsidR="009D6B3F" w:rsidRPr="00497213" w:rsidRDefault="009D6B3F" w:rsidP="00497213">
      <w:pPr>
        <w:autoSpaceDE w:val="0"/>
        <w:autoSpaceDN w:val="0"/>
        <w:adjustRightInd w:val="0"/>
        <w:spacing w:after="0" w:line="240" w:lineRule="auto"/>
        <w:rPr>
          <w:rFonts w:ascii="Adelle Sans" w:hAnsi="Adelle Sans" w:cs="HelveticaNeueLTStd-Bd"/>
          <w:bCs/>
          <w:sz w:val="23"/>
          <w:szCs w:val="23"/>
        </w:rPr>
      </w:pPr>
    </w:p>
    <w:p w:rsidR="00E967AC" w:rsidRDefault="00497213" w:rsidP="00497213">
      <w:pPr>
        <w:autoSpaceDE w:val="0"/>
        <w:autoSpaceDN w:val="0"/>
        <w:adjustRightInd w:val="0"/>
        <w:spacing w:after="0" w:line="240" w:lineRule="auto"/>
        <w:rPr>
          <w:rFonts w:ascii="Adelle Sans" w:hAnsi="Adelle Sans" w:cs="HelveticaNeueLTStd-Bd"/>
          <w:bCs/>
          <w:sz w:val="23"/>
          <w:szCs w:val="23"/>
        </w:rPr>
      </w:pPr>
      <w:r w:rsidRPr="00497213">
        <w:rPr>
          <w:rFonts w:ascii="Adelle Sans" w:hAnsi="Adelle Sans" w:cs="HelveticaNeueLTStd-Bd"/>
          <w:bCs/>
          <w:sz w:val="23"/>
          <w:szCs w:val="23"/>
        </w:rPr>
        <w:t>Spelling and grammar are rarely assessed at the provisional level; usually, the only assessment criterion is that students actually do the writing, although you can indicate the number of ideas or answers that learners need to generate and check to see whether all have come up with the required number.</w:t>
      </w:r>
    </w:p>
    <w:p w:rsidR="00497213" w:rsidRDefault="00497213" w:rsidP="00971AF7">
      <w:pPr>
        <w:autoSpaceDE w:val="0"/>
        <w:autoSpaceDN w:val="0"/>
        <w:adjustRightInd w:val="0"/>
        <w:spacing w:after="0" w:line="240" w:lineRule="auto"/>
        <w:rPr>
          <w:rFonts w:ascii="Adelle Sans" w:hAnsi="Adelle Sans" w:cs="HelveticaNeueLTStd-Bd"/>
          <w:bCs/>
          <w:sz w:val="23"/>
          <w:szCs w:val="23"/>
        </w:rPr>
      </w:pPr>
    </w:p>
    <w:p w:rsidR="009D6B3F" w:rsidRDefault="009D6B3F" w:rsidP="00497213">
      <w:pPr>
        <w:autoSpaceDE w:val="0"/>
        <w:autoSpaceDN w:val="0"/>
        <w:adjustRightInd w:val="0"/>
        <w:spacing w:after="0" w:line="240" w:lineRule="auto"/>
        <w:rPr>
          <w:rFonts w:ascii="Adelle Sans" w:hAnsi="Adelle Sans" w:cs="HelveticaNeueLTStd-Bd"/>
          <w:b/>
          <w:bCs/>
          <w:sz w:val="23"/>
          <w:szCs w:val="23"/>
        </w:rPr>
      </w:pPr>
    </w:p>
    <w:p w:rsidR="00497213" w:rsidRPr="006E770B" w:rsidRDefault="00497213" w:rsidP="00497213">
      <w:pPr>
        <w:autoSpaceDE w:val="0"/>
        <w:autoSpaceDN w:val="0"/>
        <w:adjustRightInd w:val="0"/>
        <w:spacing w:after="0" w:line="240" w:lineRule="auto"/>
        <w:rPr>
          <w:rFonts w:ascii="Adelle Sans" w:hAnsi="Adelle Sans" w:cs="HelveticaNeueLTStd-Bd"/>
          <w:b/>
          <w:bCs/>
          <w:sz w:val="23"/>
          <w:szCs w:val="23"/>
        </w:rPr>
      </w:pPr>
      <w:r w:rsidRPr="006E770B">
        <w:rPr>
          <w:rFonts w:ascii="Adelle Sans" w:hAnsi="Adelle Sans" w:cs="HelveticaNeueLTStd-Bd"/>
          <w:b/>
          <w:bCs/>
          <w:sz w:val="23"/>
          <w:szCs w:val="23"/>
        </w:rPr>
        <w:t>You can prompt students to write before, during, and after (BDA) instructional segments to meet a variety of instructional purposes, including:</w:t>
      </w:r>
    </w:p>
    <w:p w:rsidR="00497213" w:rsidRPr="006E770B" w:rsidRDefault="00497213" w:rsidP="00497213">
      <w:pPr>
        <w:autoSpaceDE w:val="0"/>
        <w:autoSpaceDN w:val="0"/>
        <w:adjustRightInd w:val="0"/>
        <w:spacing w:after="0" w:line="240" w:lineRule="auto"/>
        <w:rPr>
          <w:rFonts w:ascii="Adelle Sans" w:hAnsi="Adelle Sans" w:cs="HelveticaNeueLTStd-Bd"/>
          <w:b/>
          <w:bCs/>
          <w:sz w:val="23"/>
          <w:szCs w:val="23"/>
        </w:rPr>
      </w:pPr>
    </w:p>
    <w:p w:rsidR="00497213" w:rsidRPr="006E770B" w:rsidRDefault="00497213" w:rsidP="00497213">
      <w:pPr>
        <w:pStyle w:val="ListParagraph"/>
        <w:numPr>
          <w:ilvl w:val="0"/>
          <w:numId w:val="7"/>
        </w:numPr>
        <w:autoSpaceDE w:val="0"/>
        <w:autoSpaceDN w:val="0"/>
        <w:adjustRightInd w:val="0"/>
        <w:spacing w:after="0" w:line="240" w:lineRule="auto"/>
        <w:rPr>
          <w:rFonts w:ascii="Adelle Sans" w:hAnsi="Adelle Sans" w:cs="HelveticaNeueLTStd-Bd"/>
          <w:b/>
          <w:bCs/>
          <w:sz w:val="23"/>
          <w:szCs w:val="23"/>
        </w:rPr>
      </w:pPr>
      <w:r w:rsidRPr="006E770B">
        <w:rPr>
          <w:rFonts w:ascii="Adelle Sans" w:hAnsi="Adelle Sans" w:cs="HelveticaNeueLTStd-Bd"/>
          <w:b/>
          <w:bCs/>
          <w:sz w:val="23"/>
          <w:szCs w:val="23"/>
        </w:rPr>
        <w:t>Engaging student interest in the learning to come. For example, “</w:t>
      </w:r>
      <w:r w:rsidRPr="006E770B">
        <w:rPr>
          <w:rFonts w:ascii="Adelle Sans" w:hAnsi="Adelle Sans" w:cs="HelveticaNeueLTStd-Bd"/>
          <w:bCs/>
          <w:sz w:val="23"/>
          <w:szCs w:val="23"/>
        </w:rPr>
        <w:t>Do we need assessments?  What would your course or program be like without them?</w:t>
      </w:r>
    </w:p>
    <w:p w:rsidR="00497213" w:rsidRPr="006E770B" w:rsidRDefault="00497213" w:rsidP="00497213">
      <w:pPr>
        <w:pStyle w:val="ListParagraph"/>
        <w:numPr>
          <w:ilvl w:val="0"/>
          <w:numId w:val="7"/>
        </w:numPr>
        <w:autoSpaceDE w:val="0"/>
        <w:autoSpaceDN w:val="0"/>
        <w:adjustRightInd w:val="0"/>
        <w:spacing w:after="0" w:line="240" w:lineRule="auto"/>
        <w:rPr>
          <w:rFonts w:ascii="Adelle Sans" w:hAnsi="Adelle Sans" w:cs="HelveticaNeueLTStd-Bd"/>
          <w:b/>
          <w:bCs/>
          <w:sz w:val="23"/>
          <w:szCs w:val="23"/>
        </w:rPr>
      </w:pPr>
      <w:r w:rsidRPr="006E770B">
        <w:rPr>
          <w:rFonts w:ascii="Adelle Sans" w:hAnsi="Adelle Sans" w:cs="HelveticaNeueLTStd-Bd"/>
          <w:b/>
          <w:bCs/>
          <w:sz w:val="23"/>
          <w:szCs w:val="23"/>
        </w:rPr>
        <w:t xml:space="preserve">Activating students’ prior knowledge. For example, </w:t>
      </w:r>
      <w:r w:rsidRPr="006E770B">
        <w:rPr>
          <w:rFonts w:ascii="Adelle Sans" w:hAnsi="Adelle Sans" w:cs="HelveticaNeueLTStd-Bd"/>
          <w:bCs/>
          <w:sz w:val="23"/>
          <w:szCs w:val="23"/>
        </w:rPr>
        <w:t>“What comes to mind when you hear the term ‘assessment’?”</w:t>
      </w:r>
    </w:p>
    <w:p w:rsidR="00497213" w:rsidRPr="006E770B" w:rsidRDefault="00497213" w:rsidP="00497213">
      <w:pPr>
        <w:pStyle w:val="ListParagraph"/>
        <w:numPr>
          <w:ilvl w:val="0"/>
          <w:numId w:val="7"/>
        </w:numPr>
        <w:autoSpaceDE w:val="0"/>
        <w:autoSpaceDN w:val="0"/>
        <w:adjustRightInd w:val="0"/>
        <w:spacing w:after="0" w:line="240" w:lineRule="auto"/>
        <w:rPr>
          <w:rFonts w:ascii="Adelle Sans" w:hAnsi="Adelle Sans" w:cs="HelveticaNeueLTStd-Bd"/>
          <w:b/>
          <w:bCs/>
          <w:sz w:val="23"/>
          <w:szCs w:val="23"/>
        </w:rPr>
      </w:pPr>
      <w:r w:rsidRPr="006E770B">
        <w:rPr>
          <w:rFonts w:ascii="Adelle Sans" w:hAnsi="Adelle Sans" w:cs="HelveticaNeueLTStd-Bd"/>
          <w:b/>
          <w:bCs/>
          <w:sz w:val="23"/>
          <w:szCs w:val="23"/>
        </w:rPr>
        <w:t>Checking for understanding. For example</w:t>
      </w:r>
      <w:r w:rsidRPr="006E770B">
        <w:rPr>
          <w:rFonts w:ascii="Adelle Sans" w:hAnsi="Adelle Sans" w:cs="HelveticaNeueLTStd-Bd"/>
          <w:bCs/>
          <w:sz w:val="23"/>
          <w:szCs w:val="23"/>
        </w:rPr>
        <w:t>, “What are two main categories of assessment?  Briefly describe each.”</w:t>
      </w:r>
    </w:p>
    <w:p w:rsidR="00497213" w:rsidRPr="006E770B" w:rsidRDefault="00497213" w:rsidP="00497213">
      <w:pPr>
        <w:pStyle w:val="ListParagraph"/>
        <w:numPr>
          <w:ilvl w:val="0"/>
          <w:numId w:val="7"/>
        </w:numPr>
        <w:autoSpaceDE w:val="0"/>
        <w:autoSpaceDN w:val="0"/>
        <w:adjustRightInd w:val="0"/>
        <w:spacing w:after="0" w:line="240" w:lineRule="auto"/>
        <w:rPr>
          <w:rFonts w:ascii="Adelle Sans" w:hAnsi="Adelle Sans" w:cs="HelveticaNeueLTStd-Bd"/>
          <w:b/>
          <w:bCs/>
          <w:sz w:val="23"/>
          <w:szCs w:val="23"/>
        </w:rPr>
      </w:pPr>
      <w:r w:rsidRPr="006E770B">
        <w:rPr>
          <w:rFonts w:ascii="Adelle Sans" w:hAnsi="Adelle Sans" w:cs="HelveticaNeueLTStd-Bd"/>
          <w:b/>
          <w:bCs/>
          <w:sz w:val="23"/>
          <w:szCs w:val="23"/>
        </w:rPr>
        <w:t xml:space="preserve">Spurring creative thinking. For example, </w:t>
      </w:r>
      <w:r w:rsidRPr="006E770B">
        <w:rPr>
          <w:rFonts w:ascii="Adelle Sans" w:hAnsi="Adelle Sans" w:cs="HelveticaNeueLTStd-Bd"/>
          <w:bCs/>
          <w:sz w:val="23"/>
          <w:szCs w:val="23"/>
        </w:rPr>
        <w:t>“If you could add any aspect to how you currently assess students what would it be?</w:t>
      </w:r>
    </w:p>
    <w:p w:rsidR="00497213" w:rsidRPr="006E770B" w:rsidRDefault="00497213" w:rsidP="00497213">
      <w:pPr>
        <w:pStyle w:val="ListParagraph"/>
        <w:numPr>
          <w:ilvl w:val="0"/>
          <w:numId w:val="7"/>
        </w:numPr>
        <w:autoSpaceDE w:val="0"/>
        <w:autoSpaceDN w:val="0"/>
        <w:adjustRightInd w:val="0"/>
        <w:spacing w:after="0" w:line="240" w:lineRule="auto"/>
        <w:rPr>
          <w:rFonts w:ascii="Adelle Sans" w:hAnsi="Adelle Sans" w:cs="HelveticaNeueLTStd-Bd"/>
          <w:b/>
          <w:bCs/>
          <w:sz w:val="23"/>
          <w:szCs w:val="23"/>
        </w:rPr>
      </w:pPr>
      <w:r w:rsidRPr="006E770B">
        <w:rPr>
          <w:rFonts w:ascii="Adelle Sans" w:hAnsi="Adelle Sans" w:cs="HelveticaNeueLTStd-Bd"/>
          <w:b/>
          <w:bCs/>
          <w:sz w:val="23"/>
          <w:szCs w:val="23"/>
        </w:rPr>
        <w:t xml:space="preserve">Fostering analysis and critical thinking. For example, </w:t>
      </w:r>
      <w:r w:rsidRPr="006E770B">
        <w:rPr>
          <w:rFonts w:ascii="Adelle Sans" w:hAnsi="Adelle Sans" w:cs="HelveticaNeueLTStd-Bd"/>
          <w:bCs/>
          <w:sz w:val="23"/>
          <w:szCs w:val="23"/>
        </w:rPr>
        <w:t>“How are formative and summative assessment different?  What do they have in common?”</w:t>
      </w:r>
    </w:p>
    <w:p w:rsidR="00497213" w:rsidRPr="006E770B" w:rsidRDefault="00497213" w:rsidP="00497213">
      <w:pPr>
        <w:pStyle w:val="ListParagraph"/>
        <w:numPr>
          <w:ilvl w:val="0"/>
          <w:numId w:val="7"/>
        </w:numPr>
        <w:autoSpaceDE w:val="0"/>
        <w:autoSpaceDN w:val="0"/>
        <w:adjustRightInd w:val="0"/>
        <w:spacing w:after="0" w:line="240" w:lineRule="auto"/>
        <w:rPr>
          <w:rFonts w:ascii="Adelle Sans" w:hAnsi="Adelle Sans" w:cs="HelveticaNeueLTStd-Bd"/>
          <w:b/>
          <w:bCs/>
          <w:sz w:val="23"/>
          <w:szCs w:val="23"/>
        </w:rPr>
      </w:pPr>
      <w:r w:rsidRPr="006E770B">
        <w:rPr>
          <w:rFonts w:ascii="Adelle Sans" w:hAnsi="Adelle Sans" w:cs="HelveticaNeueLTStd-Bd"/>
          <w:b/>
          <w:bCs/>
          <w:sz w:val="23"/>
          <w:szCs w:val="23"/>
        </w:rPr>
        <w:t>Encouraging students to make personal connections to the content. For example, “</w:t>
      </w:r>
      <w:r w:rsidRPr="006E770B">
        <w:rPr>
          <w:rFonts w:ascii="Adelle Sans" w:hAnsi="Adelle Sans" w:cs="HelveticaNeueLTStd-Bd"/>
          <w:bCs/>
          <w:sz w:val="23"/>
          <w:szCs w:val="23"/>
        </w:rPr>
        <w:t>Did you like creating and using assessments? Give three reasons why or why not.”</w:t>
      </w:r>
    </w:p>
    <w:p w:rsidR="00497213" w:rsidRPr="006E770B" w:rsidRDefault="00497213" w:rsidP="00497213">
      <w:pPr>
        <w:pStyle w:val="ListParagraph"/>
        <w:numPr>
          <w:ilvl w:val="0"/>
          <w:numId w:val="7"/>
        </w:numPr>
        <w:autoSpaceDE w:val="0"/>
        <w:autoSpaceDN w:val="0"/>
        <w:adjustRightInd w:val="0"/>
        <w:spacing w:after="0" w:line="240" w:lineRule="auto"/>
        <w:rPr>
          <w:rFonts w:ascii="Adelle Sans" w:hAnsi="Adelle Sans" w:cs="HelveticaNeueLTStd-Bd"/>
          <w:b/>
          <w:bCs/>
          <w:sz w:val="23"/>
          <w:szCs w:val="23"/>
        </w:rPr>
      </w:pPr>
      <w:r w:rsidRPr="006E770B">
        <w:rPr>
          <w:rFonts w:ascii="Adelle Sans" w:hAnsi="Adelle Sans" w:cs="HelveticaNeueLTStd-Bd"/>
          <w:b/>
          <w:bCs/>
          <w:sz w:val="23"/>
          <w:szCs w:val="23"/>
        </w:rPr>
        <w:t>Helping students reflect on their learning. For example,</w:t>
      </w:r>
      <w:r w:rsidRPr="006E770B">
        <w:rPr>
          <w:rFonts w:ascii="Adelle Sans" w:hAnsi="Adelle Sans" w:cs="HelveticaNeueLTStd-Bd"/>
          <w:bCs/>
          <w:sz w:val="23"/>
          <w:szCs w:val="23"/>
        </w:rPr>
        <w:t xml:space="preserve"> “What aspects of assessment are </w:t>
      </w:r>
    </w:p>
    <w:p w:rsidR="00497213" w:rsidRPr="00497213" w:rsidRDefault="00497213" w:rsidP="00497213">
      <w:pPr>
        <w:autoSpaceDE w:val="0"/>
        <w:autoSpaceDN w:val="0"/>
        <w:adjustRightInd w:val="0"/>
        <w:spacing w:after="0" w:line="240" w:lineRule="auto"/>
        <w:rPr>
          <w:rFonts w:ascii="Adelle Sans" w:hAnsi="Adelle Sans" w:cs="HelveticaNeueLTStd-Bd"/>
          <w:bCs/>
          <w:sz w:val="23"/>
          <w:szCs w:val="23"/>
        </w:rPr>
      </w:pPr>
      <w:r>
        <w:rPr>
          <w:rFonts w:ascii="Adelle Sans" w:hAnsi="Adelle Sans" w:cs="HelveticaNeueLTStd-Bd"/>
          <w:bCs/>
          <w:sz w:val="23"/>
          <w:szCs w:val="23"/>
        </w:rPr>
        <w:t xml:space="preserve">               </w:t>
      </w:r>
      <w:proofErr w:type="gramStart"/>
      <w:r w:rsidRPr="00497213">
        <w:rPr>
          <w:rFonts w:ascii="Adelle Sans" w:hAnsi="Adelle Sans" w:cs="HelveticaNeueLTStd-Bd"/>
          <w:bCs/>
          <w:sz w:val="23"/>
          <w:szCs w:val="23"/>
        </w:rPr>
        <w:t>clear</w:t>
      </w:r>
      <w:proofErr w:type="gramEnd"/>
      <w:r w:rsidRPr="00497213">
        <w:rPr>
          <w:rFonts w:ascii="Adelle Sans" w:hAnsi="Adelle Sans" w:cs="HelveticaNeueLTStd-Bd"/>
          <w:bCs/>
          <w:sz w:val="23"/>
          <w:szCs w:val="23"/>
        </w:rPr>
        <w:t xml:space="preserve"> to you? What are you still unclear about?”</w:t>
      </w:r>
    </w:p>
    <w:p w:rsidR="00971AF7" w:rsidRPr="006E770B" w:rsidRDefault="00971AF7" w:rsidP="00971AF7">
      <w:pPr>
        <w:autoSpaceDE w:val="0"/>
        <w:autoSpaceDN w:val="0"/>
        <w:adjustRightInd w:val="0"/>
        <w:spacing w:after="0" w:line="240" w:lineRule="auto"/>
        <w:rPr>
          <w:rFonts w:ascii="Adelle Sans" w:hAnsi="Adelle Sans" w:cs="HelveticaNeueLTStd-Bd"/>
          <w:bCs/>
          <w:sz w:val="23"/>
          <w:szCs w:val="23"/>
        </w:rPr>
      </w:pPr>
    </w:p>
    <w:p w:rsidR="009D6B3F" w:rsidRDefault="009D6B3F" w:rsidP="00573942">
      <w:pPr>
        <w:autoSpaceDE w:val="0"/>
        <w:autoSpaceDN w:val="0"/>
        <w:adjustRightInd w:val="0"/>
        <w:spacing w:after="0" w:line="240" w:lineRule="auto"/>
        <w:rPr>
          <w:rFonts w:ascii="Adelle Sans" w:hAnsi="Adelle Sans" w:cs="HelveticaNeueLTStd-Bd"/>
          <w:bCs/>
          <w:sz w:val="23"/>
          <w:szCs w:val="23"/>
        </w:rPr>
      </w:pPr>
    </w:p>
    <w:p w:rsidR="009D6B3F" w:rsidRDefault="009D6B3F" w:rsidP="00573942">
      <w:pPr>
        <w:autoSpaceDE w:val="0"/>
        <w:autoSpaceDN w:val="0"/>
        <w:adjustRightInd w:val="0"/>
        <w:spacing w:after="0" w:line="240" w:lineRule="auto"/>
        <w:rPr>
          <w:rFonts w:ascii="Adelle Sans" w:hAnsi="Adelle Sans" w:cs="HelveticaNeueLTStd-Bd"/>
          <w:bCs/>
          <w:sz w:val="23"/>
          <w:szCs w:val="23"/>
        </w:rPr>
      </w:pPr>
    </w:p>
    <w:p w:rsidR="00573942" w:rsidRPr="006E770B" w:rsidRDefault="00971AF7" w:rsidP="00573942">
      <w:pPr>
        <w:autoSpaceDE w:val="0"/>
        <w:autoSpaceDN w:val="0"/>
        <w:adjustRightInd w:val="0"/>
        <w:spacing w:after="0" w:line="240" w:lineRule="auto"/>
        <w:rPr>
          <w:rFonts w:ascii="Adelle Sans" w:hAnsi="Adelle Sans" w:cs="HelveticaNeueLTStd-Bd"/>
          <w:bCs/>
          <w:sz w:val="23"/>
          <w:szCs w:val="23"/>
        </w:rPr>
      </w:pPr>
      <w:r w:rsidRPr="006E770B">
        <w:rPr>
          <w:rFonts w:ascii="Adelle Sans" w:hAnsi="Adelle Sans" w:cs="HelveticaNeueLTStd-Bd"/>
          <w:bCs/>
          <w:sz w:val="23"/>
          <w:szCs w:val="23"/>
        </w:rPr>
        <w:t>As often as possible, have students share their responses in pa</w:t>
      </w:r>
      <w:r w:rsidR="00FB786A">
        <w:rPr>
          <w:rFonts w:ascii="Adelle Sans" w:hAnsi="Adelle Sans" w:cs="HelveticaNeueLTStd-Bd"/>
          <w:bCs/>
          <w:sz w:val="23"/>
          <w:szCs w:val="23"/>
        </w:rPr>
        <w:t>irs or small groups. Group members should</w:t>
      </w:r>
      <w:r w:rsidRPr="006E770B">
        <w:rPr>
          <w:rFonts w:ascii="Adelle Sans" w:hAnsi="Adelle Sans" w:cs="HelveticaNeueLTStd-Bd"/>
          <w:bCs/>
          <w:sz w:val="23"/>
          <w:szCs w:val="23"/>
        </w:rPr>
        <w:t xml:space="preserve"> look for similarities and differences in their responses, help one another refine and synthesize </w:t>
      </w:r>
      <w:r w:rsidRPr="006E770B">
        <w:rPr>
          <w:rFonts w:ascii="Adelle Sans" w:hAnsi="Adelle Sans" w:cs="HelveticaNeueLTStd-Bd"/>
          <w:bCs/>
          <w:sz w:val="23"/>
          <w:szCs w:val="23"/>
        </w:rPr>
        <w:lastRenderedPageBreak/>
        <w:t>ideas, or generate additional idea</w:t>
      </w:r>
      <w:r w:rsidR="00501054" w:rsidRPr="006E770B">
        <w:rPr>
          <w:rFonts w:ascii="Adelle Sans" w:hAnsi="Adelle Sans" w:cs="HelveticaNeueLTStd-Bd"/>
          <w:bCs/>
          <w:sz w:val="23"/>
          <w:szCs w:val="23"/>
        </w:rPr>
        <w:t xml:space="preserve">s. </w:t>
      </w:r>
      <w:r w:rsidR="00FB786A" w:rsidRPr="00FB786A">
        <w:rPr>
          <w:rFonts w:ascii="Adelle Sans" w:hAnsi="Adelle Sans" w:cs="HelveticaNeueLTStd-Bd"/>
          <w:bCs/>
          <w:sz w:val="23"/>
          <w:szCs w:val="23"/>
        </w:rPr>
        <w:t>T</w:t>
      </w:r>
      <w:r w:rsidR="00FB786A">
        <w:rPr>
          <w:rFonts w:ascii="Adelle Sans" w:hAnsi="Adelle Sans" w:cs="HelveticaNeueLTStd-Bd"/>
          <w:bCs/>
          <w:sz w:val="23"/>
          <w:szCs w:val="23"/>
        </w:rPr>
        <w:t>o t</w:t>
      </w:r>
      <w:r w:rsidR="00FB786A" w:rsidRPr="00FB786A">
        <w:rPr>
          <w:rFonts w:ascii="Adelle Sans" w:hAnsi="Adelle Sans" w:cs="HelveticaNeueLTStd-Bd"/>
          <w:bCs/>
          <w:sz w:val="23"/>
          <w:szCs w:val="23"/>
        </w:rPr>
        <w:t>ake advantage of the form</w:t>
      </w:r>
      <w:r w:rsidR="00497213">
        <w:rPr>
          <w:rFonts w:ascii="Adelle Sans" w:hAnsi="Adelle Sans" w:cs="HelveticaNeueLTStd-Bd"/>
          <w:bCs/>
          <w:sz w:val="23"/>
          <w:szCs w:val="23"/>
        </w:rPr>
        <w:t xml:space="preserve">ative assessment opportunity by </w:t>
      </w:r>
      <w:r w:rsidR="00FB786A">
        <w:rPr>
          <w:rFonts w:ascii="Adelle Sans" w:hAnsi="Adelle Sans" w:cs="HelveticaNeueLTStd-Bd"/>
          <w:bCs/>
          <w:sz w:val="23"/>
          <w:szCs w:val="23"/>
        </w:rPr>
        <w:t>listen</w:t>
      </w:r>
      <w:r w:rsidR="00497213">
        <w:rPr>
          <w:rFonts w:ascii="Adelle Sans" w:hAnsi="Adelle Sans" w:cs="HelveticaNeueLTStd-Bd"/>
          <w:bCs/>
          <w:sz w:val="23"/>
          <w:szCs w:val="23"/>
        </w:rPr>
        <w:t>ing</w:t>
      </w:r>
      <w:r w:rsidR="00FB786A">
        <w:rPr>
          <w:rFonts w:ascii="Adelle Sans" w:hAnsi="Adelle Sans" w:cs="HelveticaNeueLTStd-Bd"/>
          <w:bCs/>
          <w:sz w:val="23"/>
          <w:szCs w:val="23"/>
        </w:rPr>
        <w:t xml:space="preserve"> in as the groups talk.  </w:t>
      </w:r>
      <w:r w:rsidR="00FB786A" w:rsidRPr="00FB786A">
        <w:rPr>
          <w:rFonts w:ascii="Adelle Sans" w:hAnsi="Adelle Sans" w:cs="HelveticaNeueLTStd-Bd"/>
          <w:bCs/>
          <w:sz w:val="23"/>
          <w:szCs w:val="23"/>
        </w:rPr>
        <w:t>Adjust instruct</w:t>
      </w:r>
      <w:r w:rsidR="00FB786A">
        <w:rPr>
          <w:rFonts w:ascii="Adelle Sans" w:hAnsi="Adelle Sans" w:cs="HelveticaNeueLTStd-Bd"/>
          <w:bCs/>
          <w:sz w:val="23"/>
          <w:szCs w:val="23"/>
        </w:rPr>
        <w:t>ion according to what you learn. C</w:t>
      </w:r>
      <w:r w:rsidRPr="006E770B">
        <w:rPr>
          <w:rFonts w:ascii="Adelle Sans" w:hAnsi="Adelle Sans" w:cs="HelveticaNeueLTStd-Bd"/>
          <w:bCs/>
          <w:sz w:val="23"/>
          <w:szCs w:val="23"/>
        </w:rPr>
        <w:t>onnect students’ written and group responses to a larger classroom discussion in which you survey students’ ideas, record them on the board, and explore them further.</w:t>
      </w:r>
      <w:r w:rsidR="00FB786A" w:rsidRPr="00FB786A">
        <w:t xml:space="preserve"> </w:t>
      </w:r>
    </w:p>
    <w:p w:rsidR="009D6B3F" w:rsidRDefault="009D6B3F" w:rsidP="006E770B">
      <w:pPr>
        <w:autoSpaceDE w:val="0"/>
        <w:autoSpaceDN w:val="0"/>
        <w:adjustRightInd w:val="0"/>
        <w:spacing w:after="0" w:line="240" w:lineRule="auto"/>
        <w:jc w:val="center"/>
        <w:rPr>
          <w:rFonts w:ascii="Adelle Sans" w:hAnsi="Adelle Sans" w:cs="HelveticaNeueLTStd-Bd"/>
          <w:b/>
          <w:bCs/>
          <w:sz w:val="23"/>
          <w:szCs w:val="23"/>
        </w:rPr>
      </w:pPr>
    </w:p>
    <w:p w:rsidR="009D6B3F" w:rsidRDefault="009D6B3F" w:rsidP="006E770B">
      <w:pPr>
        <w:autoSpaceDE w:val="0"/>
        <w:autoSpaceDN w:val="0"/>
        <w:adjustRightInd w:val="0"/>
        <w:spacing w:after="0" w:line="240" w:lineRule="auto"/>
        <w:jc w:val="center"/>
        <w:rPr>
          <w:rFonts w:ascii="Adelle Sans" w:hAnsi="Adelle Sans" w:cs="HelveticaNeueLTStd-Bd"/>
          <w:b/>
          <w:bCs/>
          <w:sz w:val="23"/>
          <w:szCs w:val="23"/>
        </w:rPr>
      </w:pPr>
    </w:p>
    <w:p w:rsidR="00573942" w:rsidRPr="006E770B" w:rsidRDefault="00573942" w:rsidP="006E770B">
      <w:pPr>
        <w:autoSpaceDE w:val="0"/>
        <w:autoSpaceDN w:val="0"/>
        <w:adjustRightInd w:val="0"/>
        <w:spacing w:after="0" w:line="240" w:lineRule="auto"/>
        <w:jc w:val="center"/>
        <w:rPr>
          <w:rFonts w:ascii="Adelle Sans" w:hAnsi="Adelle Sans" w:cs="HelveticaNeueLTStd-Bd"/>
          <w:b/>
          <w:bCs/>
          <w:sz w:val="23"/>
          <w:szCs w:val="23"/>
        </w:rPr>
      </w:pPr>
      <w:r w:rsidRPr="006E770B">
        <w:rPr>
          <w:rFonts w:ascii="Adelle Sans" w:hAnsi="Adelle Sans" w:cs="HelveticaNeueLTStd-Bd"/>
          <w:b/>
          <w:bCs/>
          <w:sz w:val="23"/>
          <w:szCs w:val="23"/>
        </w:rPr>
        <w:t>Readable</w:t>
      </w:r>
      <w:r w:rsidR="006E770B" w:rsidRPr="006E770B">
        <w:rPr>
          <w:rFonts w:ascii="Adelle Sans" w:hAnsi="Adelle Sans" w:cs="HelveticaNeueLTStd-Bd"/>
          <w:b/>
          <w:bCs/>
          <w:sz w:val="23"/>
          <w:szCs w:val="23"/>
        </w:rPr>
        <w:t xml:space="preserve"> Writing</w:t>
      </w:r>
      <w:r w:rsidRPr="006E770B">
        <w:rPr>
          <w:rFonts w:ascii="Adelle Sans" w:hAnsi="Adelle Sans" w:cs="HelveticaNeueLTStd-Bd"/>
          <w:b/>
          <w:bCs/>
          <w:sz w:val="23"/>
          <w:szCs w:val="23"/>
        </w:rPr>
        <w:t>:</w:t>
      </w:r>
    </w:p>
    <w:p w:rsidR="00573942" w:rsidRPr="006E770B" w:rsidRDefault="00573942" w:rsidP="00573942">
      <w:pPr>
        <w:autoSpaceDE w:val="0"/>
        <w:autoSpaceDN w:val="0"/>
        <w:adjustRightInd w:val="0"/>
        <w:spacing w:after="0" w:line="240" w:lineRule="auto"/>
        <w:rPr>
          <w:rFonts w:ascii="Adelle Sans" w:hAnsi="Adelle Sans" w:cs="HelveticaNeueLTStd-Bd"/>
          <w:b/>
          <w:bCs/>
          <w:sz w:val="23"/>
          <w:szCs w:val="23"/>
        </w:rPr>
      </w:pPr>
    </w:p>
    <w:p w:rsidR="00573942" w:rsidRDefault="00573942" w:rsidP="00573942">
      <w:pPr>
        <w:autoSpaceDE w:val="0"/>
        <w:autoSpaceDN w:val="0"/>
        <w:adjustRightInd w:val="0"/>
        <w:spacing w:after="0" w:line="240" w:lineRule="auto"/>
        <w:rPr>
          <w:rFonts w:ascii="Adelle Sans" w:hAnsi="Adelle Sans" w:cs="HelveticaNeueLTStd-Bd"/>
          <w:b/>
          <w:bCs/>
          <w:sz w:val="23"/>
          <w:szCs w:val="23"/>
        </w:rPr>
      </w:pPr>
      <w:r w:rsidRPr="006E770B">
        <w:rPr>
          <w:rFonts w:ascii="Adelle Sans" w:hAnsi="Adelle Sans" w:cs="HelveticaNeueLTStd-Bd"/>
          <w:b/>
          <w:bCs/>
          <w:sz w:val="23"/>
          <w:szCs w:val="23"/>
        </w:rPr>
        <w:t xml:space="preserve">Readable writing requires learners to clarify their thoughts </w:t>
      </w:r>
      <w:r w:rsidRPr="006E770B">
        <w:rPr>
          <w:rFonts w:ascii="Adelle Sans" w:hAnsi="Adelle Sans" w:cs="HelveticaNeueLTStd-Bd"/>
          <w:b/>
          <w:bCs/>
          <w:sz w:val="23"/>
          <w:szCs w:val="23"/>
          <w:u w:val="single"/>
        </w:rPr>
        <w:t>and</w:t>
      </w:r>
      <w:r w:rsidRPr="006E770B">
        <w:rPr>
          <w:rFonts w:ascii="Adelle Sans" w:hAnsi="Adelle Sans" w:cs="HelveticaNeueLTStd-Bd"/>
          <w:b/>
          <w:bCs/>
          <w:sz w:val="23"/>
          <w:szCs w:val="23"/>
        </w:rPr>
        <w:t xml:space="preserve"> develop an organizational structure for their ideas. Readable writing is intended for an audience—usually the instructor, who uses it to assess students’ depth of understanding and ability to construct soundly reasoned responses.  The assessment criterion is tied to the organizational patter</w:t>
      </w:r>
      <w:r w:rsidR="006E770B" w:rsidRPr="006E770B">
        <w:rPr>
          <w:rFonts w:ascii="Adelle Sans" w:hAnsi="Adelle Sans" w:cs="HelveticaNeueLTStd-Bd"/>
          <w:b/>
          <w:bCs/>
          <w:sz w:val="23"/>
          <w:szCs w:val="23"/>
        </w:rPr>
        <w:t>n</w:t>
      </w:r>
      <w:r w:rsidRPr="006E770B">
        <w:rPr>
          <w:rFonts w:ascii="Adelle Sans" w:hAnsi="Adelle Sans" w:cs="HelveticaNeueLTStd-Bd"/>
          <w:b/>
          <w:bCs/>
          <w:sz w:val="23"/>
          <w:szCs w:val="23"/>
        </w:rPr>
        <w:t xml:space="preserve"> required by the assignment prompt (arguments, informative/explanatory texts, and narratives, or comparison, analysis, and description). Mechanics like grammar and spelling </w:t>
      </w:r>
      <w:r w:rsidR="006E770B" w:rsidRPr="006E770B">
        <w:rPr>
          <w:rFonts w:ascii="Adelle Sans" w:hAnsi="Adelle Sans" w:cs="HelveticaNeueLTStd-Bd"/>
          <w:b/>
          <w:bCs/>
          <w:sz w:val="23"/>
          <w:szCs w:val="23"/>
        </w:rPr>
        <w:t>are</w:t>
      </w:r>
      <w:r w:rsidRPr="006E770B">
        <w:rPr>
          <w:rFonts w:ascii="Adelle Sans" w:hAnsi="Adelle Sans" w:cs="HelveticaNeueLTStd-Bd"/>
          <w:b/>
          <w:bCs/>
          <w:sz w:val="23"/>
          <w:szCs w:val="23"/>
        </w:rPr>
        <w:t xml:space="preserve"> less important than accuracy and organization of main ideas and supporting details and the quality of student thinking. This is called “readable writing” for a reason: it should make sense and be easy to understand.</w:t>
      </w:r>
    </w:p>
    <w:p w:rsidR="009D6B3F" w:rsidRDefault="009D6B3F" w:rsidP="00573942">
      <w:pPr>
        <w:autoSpaceDE w:val="0"/>
        <w:autoSpaceDN w:val="0"/>
        <w:adjustRightInd w:val="0"/>
        <w:spacing w:after="0" w:line="240" w:lineRule="auto"/>
        <w:rPr>
          <w:rFonts w:ascii="Adelle Sans" w:hAnsi="Adelle Sans" w:cs="HelveticaNeueLTStd-Bd"/>
          <w:b/>
          <w:bCs/>
          <w:sz w:val="23"/>
          <w:szCs w:val="23"/>
        </w:rPr>
      </w:pPr>
    </w:p>
    <w:p w:rsidR="009D6B3F" w:rsidRPr="006E770B" w:rsidRDefault="009D6B3F" w:rsidP="00573942">
      <w:pPr>
        <w:autoSpaceDE w:val="0"/>
        <w:autoSpaceDN w:val="0"/>
        <w:adjustRightInd w:val="0"/>
        <w:spacing w:after="0" w:line="240" w:lineRule="auto"/>
        <w:rPr>
          <w:rFonts w:ascii="Adelle Sans" w:hAnsi="Adelle Sans" w:cs="HelveticaNeueLTStd-Bd"/>
          <w:b/>
          <w:bCs/>
          <w:sz w:val="23"/>
          <w:szCs w:val="23"/>
        </w:rPr>
      </w:pPr>
    </w:p>
    <w:p w:rsidR="00573942" w:rsidRPr="006E770B" w:rsidRDefault="00573942" w:rsidP="00573942">
      <w:pPr>
        <w:autoSpaceDE w:val="0"/>
        <w:autoSpaceDN w:val="0"/>
        <w:adjustRightInd w:val="0"/>
        <w:spacing w:after="0" w:line="240" w:lineRule="auto"/>
        <w:rPr>
          <w:rFonts w:ascii="Adelle Sans" w:hAnsi="Adelle Sans" w:cs="HelveticaNeueLTStd-Bd"/>
          <w:bCs/>
          <w:sz w:val="23"/>
          <w:szCs w:val="23"/>
        </w:rPr>
      </w:pPr>
    </w:p>
    <w:p w:rsidR="00A53766" w:rsidRDefault="006E770B" w:rsidP="00573942">
      <w:pPr>
        <w:autoSpaceDE w:val="0"/>
        <w:autoSpaceDN w:val="0"/>
        <w:adjustRightInd w:val="0"/>
        <w:spacing w:after="0" w:line="240" w:lineRule="auto"/>
        <w:rPr>
          <w:rFonts w:ascii="Adelle Sans" w:hAnsi="Adelle Sans" w:cs="HelveticaNeueLTStd-Bd"/>
          <w:bCs/>
          <w:sz w:val="23"/>
          <w:szCs w:val="23"/>
        </w:rPr>
      </w:pPr>
      <w:r w:rsidRPr="006E770B">
        <w:rPr>
          <w:rFonts w:ascii="Adelle Sans" w:hAnsi="Adelle Sans" w:cs="HelveticaNeueLTStd-Bd"/>
          <w:b/>
          <w:bCs/>
          <w:sz w:val="23"/>
          <w:szCs w:val="23"/>
        </w:rPr>
        <w:t xml:space="preserve">A Powerful Readable Writing Tool: The </w:t>
      </w:r>
      <w:r w:rsidR="00573942" w:rsidRPr="006E770B">
        <w:rPr>
          <w:rFonts w:ascii="Adelle Sans" w:hAnsi="Adelle Sans" w:cs="HelveticaNeueLTStd-Bd"/>
          <w:b/>
          <w:bCs/>
          <w:sz w:val="23"/>
          <w:szCs w:val="23"/>
        </w:rPr>
        <w:t>Writing Frame.</w:t>
      </w:r>
      <w:r w:rsidR="00573942" w:rsidRPr="006E770B">
        <w:rPr>
          <w:rFonts w:ascii="Adelle Sans" w:hAnsi="Adelle Sans" w:cs="HelveticaNeueLTStd-Bd"/>
          <w:bCs/>
          <w:sz w:val="23"/>
          <w:szCs w:val="23"/>
        </w:rPr>
        <w:t xml:space="preserve"> Some students struggle with o</w:t>
      </w:r>
      <w:r w:rsidR="00A53766" w:rsidRPr="006E770B">
        <w:rPr>
          <w:rFonts w:ascii="Adelle Sans" w:hAnsi="Adelle Sans" w:cs="HelveticaNeueLTStd-Bd"/>
          <w:bCs/>
          <w:sz w:val="23"/>
          <w:szCs w:val="23"/>
        </w:rPr>
        <w:t>n-demand writ</w:t>
      </w:r>
      <w:r w:rsidR="00573942" w:rsidRPr="006E770B">
        <w:rPr>
          <w:rFonts w:ascii="Adelle Sans" w:hAnsi="Adelle Sans" w:cs="HelveticaNeueLTStd-Bd"/>
          <w:bCs/>
          <w:sz w:val="23"/>
          <w:szCs w:val="23"/>
        </w:rPr>
        <w:t>ing tasks because they have a hard time seeing the overall</w:t>
      </w:r>
      <w:r w:rsidR="00573942" w:rsidRPr="006E770B">
        <w:rPr>
          <w:rFonts w:ascii="Adelle Sans" w:hAnsi="Adelle Sans" w:cs="HelveticaNeueLTStd-Bd"/>
          <w:bCs/>
          <w:sz w:val="23"/>
          <w:szCs w:val="23"/>
          <w:u w:val="single"/>
        </w:rPr>
        <w:t xml:space="preserve"> structure</w:t>
      </w:r>
      <w:r w:rsidR="00573942" w:rsidRPr="006E770B">
        <w:rPr>
          <w:rFonts w:ascii="Adelle Sans" w:hAnsi="Adelle Sans" w:cs="HelveticaNeueLTStd-Bd"/>
          <w:bCs/>
          <w:sz w:val="23"/>
          <w:szCs w:val="23"/>
        </w:rPr>
        <w:t xml:space="preserve"> of the writing they are being asked to produce. As a result, their writing lacks focus, moving from one idea to the next without a sense of how the parts fit together to form a whole. </w:t>
      </w:r>
      <w:r w:rsidR="003F00B9" w:rsidRPr="006E770B">
        <w:rPr>
          <w:rFonts w:ascii="Adelle Sans" w:hAnsi="Adelle Sans" w:cs="HelveticaNeueLTStd-Bd"/>
          <w:bCs/>
          <w:sz w:val="23"/>
          <w:szCs w:val="23"/>
        </w:rPr>
        <w:t xml:space="preserve">    A Writing Frame is a</w:t>
      </w:r>
      <w:r w:rsidR="00573942" w:rsidRPr="006E770B">
        <w:rPr>
          <w:rFonts w:ascii="Adelle Sans" w:hAnsi="Adelle Sans" w:cs="HelveticaNeueLTStd-Bd"/>
          <w:bCs/>
          <w:sz w:val="23"/>
          <w:szCs w:val="23"/>
        </w:rPr>
        <w:t xml:space="preserve"> simple visual organizer to help students see the structure of a good essay and plan out its beginning, middle, and end. The frame can be easily adap</w:t>
      </w:r>
      <w:r w:rsidR="00A53766" w:rsidRPr="006E770B">
        <w:rPr>
          <w:rFonts w:ascii="Adelle Sans" w:hAnsi="Adelle Sans" w:cs="HelveticaNeueLTStd-Bd"/>
          <w:bCs/>
          <w:sz w:val="23"/>
          <w:szCs w:val="23"/>
        </w:rPr>
        <w:t xml:space="preserve">ted to fit the three text types: </w:t>
      </w:r>
      <w:r w:rsidR="00573942" w:rsidRPr="006E770B">
        <w:rPr>
          <w:rFonts w:ascii="Adelle Sans" w:hAnsi="Adelle Sans" w:cs="HelveticaNeueLTStd-Bd"/>
          <w:bCs/>
          <w:sz w:val="23"/>
          <w:szCs w:val="23"/>
        </w:rPr>
        <w:t>ar</w:t>
      </w:r>
      <w:r w:rsidR="00A53766" w:rsidRPr="006E770B">
        <w:rPr>
          <w:rFonts w:ascii="Adelle Sans" w:hAnsi="Adelle Sans" w:cs="HelveticaNeueLTStd-Bd"/>
          <w:bCs/>
          <w:sz w:val="23"/>
          <w:szCs w:val="23"/>
        </w:rPr>
        <w:t xml:space="preserve">gument, </w:t>
      </w:r>
      <w:r w:rsidR="00573942" w:rsidRPr="006E770B">
        <w:rPr>
          <w:rFonts w:ascii="Adelle Sans" w:hAnsi="Adelle Sans" w:cs="HelveticaNeueLTStd-Bd"/>
          <w:bCs/>
          <w:sz w:val="23"/>
          <w:szCs w:val="23"/>
        </w:rPr>
        <w:t>info</w:t>
      </w:r>
      <w:r w:rsidR="00A53766" w:rsidRPr="006E770B">
        <w:rPr>
          <w:rFonts w:ascii="Adelle Sans" w:hAnsi="Adelle Sans" w:cs="HelveticaNeueLTStd-Bd"/>
          <w:bCs/>
          <w:sz w:val="23"/>
          <w:szCs w:val="23"/>
        </w:rPr>
        <w:t>rmative/ explanatory, and narrative.</w:t>
      </w:r>
    </w:p>
    <w:p w:rsidR="009D6B3F" w:rsidRDefault="009D6B3F" w:rsidP="00573942">
      <w:pPr>
        <w:autoSpaceDE w:val="0"/>
        <w:autoSpaceDN w:val="0"/>
        <w:adjustRightInd w:val="0"/>
        <w:spacing w:after="0" w:line="240" w:lineRule="auto"/>
        <w:rPr>
          <w:rFonts w:ascii="Adelle Sans" w:hAnsi="Adelle Sans" w:cs="HelveticaNeueLTStd-Bd"/>
          <w:bCs/>
          <w:sz w:val="23"/>
          <w:szCs w:val="23"/>
        </w:rPr>
      </w:pPr>
    </w:p>
    <w:p w:rsidR="00FB786A" w:rsidRDefault="00FB786A" w:rsidP="00573942">
      <w:pPr>
        <w:autoSpaceDE w:val="0"/>
        <w:autoSpaceDN w:val="0"/>
        <w:adjustRightInd w:val="0"/>
        <w:spacing w:after="0" w:line="240" w:lineRule="auto"/>
        <w:rPr>
          <w:rFonts w:ascii="Adelle Sans" w:hAnsi="Adelle Sans" w:cs="HelveticaNeueLTStd-Bd"/>
          <w:bCs/>
          <w:sz w:val="23"/>
          <w:szCs w:val="23"/>
        </w:rPr>
      </w:pPr>
    </w:p>
    <w:p w:rsidR="00A53766" w:rsidRPr="00573942" w:rsidRDefault="00FB786A" w:rsidP="00573942">
      <w:pPr>
        <w:autoSpaceDE w:val="0"/>
        <w:autoSpaceDN w:val="0"/>
        <w:adjustRightInd w:val="0"/>
        <w:spacing w:after="0" w:line="240" w:lineRule="auto"/>
        <w:rPr>
          <w:rFonts w:ascii="Adelle Sans" w:hAnsi="Adelle Sans" w:cs="HelveticaNeueLTStd-Bd"/>
          <w:bCs/>
          <w:sz w:val="23"/>
          <w:szCs w:val="23"/>
        </w:rPr>
      </w:pPr>
      <w:r>
        <w:rPr>
          <w:rFonts w:ascii="Adelle Sans" w:hAnsi="Adelle Sans" w:cs="HelveticaNeueLTStd-Bd"/>
          <w:bCs/>
          <w:noProof/>
          <w:sz w:val="23"/>
          <w:szCs w:val="23"/>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ragraph">
                  <wp:posOffset>2111375</wp:posOffset>
                </wp:positionV>
                <wp:extent cx="7629525" cy="14668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7629525" cy="1466850"/>
                        </a:xfrm>
                        <a:prstGeom prst="rect">
                          <a:avLst/>
                        </a:prstGeom>
                        <a:solidFill>
                          <a:schemeClr val="lt1"/>
                        </a:solidFill>
                        <a:ln w="6350">
                          <a:noFill/>
                        </a:ln>
                      </wps:spPr>
                      <wps:txbx>
                        <w:txbxContent>
                          <w:p w:rsidR="009D6B3F" w:rsidRDefault="009D6B3F">
                            <w:pPr>
                              <w:rPr>
                                <w:rFonts w:ascii="Adelle Sans" w:hAnsi="Adelle Sans"/>
                                <w:b/>
                              </w:rPr>
                            </w:pPr>
                          </w:p>
                          <w:p w:rsidR="003F00B9" w:rsidRPr="006E770B" w:rsidRDefault="003F00B9">
                            <w:pPr>
                              <w:rPr>
                                <w:rFonts w:ascii="Adelle Sans" w:hAnsi="Adelle Sans"/>
                              </w:rPr>
                            </w:pPr>
                            <w:r w:rsidRPr="006E770B">
                              <w:rPr>
                                <w:rFonts w:ascii="Adelle Sans" w:hAnsi="Adelle Sans"/>
                                <w:b/>
                              </w:rPr>
                              <w:t>An example writing frame for argument writing.</w:t>
                            </w:r>
                            <w:r w:rsidRPr="006E770B">
                              <w:rPr>
                                <w:rFonts w:ascii="Adelle Sans" w:hAnsi="Adelle Sans"/>
                              </w:rPr>
                              <w:t xml:space="preserve">  Using an organizer can help learner recognize gaps in their thinking and organization.</w:t>
                            </w:r>
                            <w:r w:rsidR="00501054" w:rsidRPr="006E770B">
                              <w:rPr>
                                <w:rFonts w:ascii="Adelle Sans" w:hAnsi="Adelle Sans"/>
                              </w:rPr>
                              <w:t xml:space="preserve"> This approach helps learners and instructors to look quantitatively at how they have organized their information and to see areas that are under-represented or too detailed and in need of re-organization (Werner-Burke, N. in Borgese, Heyler, &amp; Romano (2012).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49.55pt;margin-top:166.25pt;width:600.75pt;height:115.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FrRAIAAIEEAAAOAAAAZHJzL2Uyb0RvYy54bWysVEtv2zAMvg/YfxB0X5x3WyNOkaXIMCBo&#10;C6RDz4osxQJkUZOU2NmvHyUnadrtNOwiUyTFx/eRnt23tSYH4bwCU9BBr0+JMBxKZXYF/fGy+nJL&#10;iQ/MlEyDEQU9Ck/v558/zRqbiyFUoEvhCAYxPm9sQasQbJ5lnleiZr4HVhg0SnA1C3h1u6x0rMHo&#10;tc6G/f40a8CV1gEX3qP2oTPSeYovpeDhSUovAtEFxdpCOl06t/HM5jOW7xyzleKnMtg/VFEzZTDp&#10;JdQDC4zsnfojVK24Aw8y9DjUGUipuEg9YDeD/oduNhWzIvWC4Hh7gcn/v7D88fDsiCoLOqLEsBop&#10;ehFtIF+hJaOITmN9jk4bi26hRTWyfNZ7VMamW+nq+MV2CNoR5+MF2xiMo/JmOrybDCeUcLQNxtPp&#10;7SShn709t86HbwJqEoWCOiQvYcoOax+wFHQ9u8RsHrQqV0rrdIkDI5bakQNDqnVIReKLd17akKag&#10;0xGmjo8MxOddZG0wQWy2aypKod22CZpLw1soj4iDg26OvOUrhbWumQ/PzOHgYOu4DOEJD6kBc8FJ&#10;oqQC9+tv+uiPfKKVkgYHsaD+5545QYn+bpDpu8F4HCc3XcaTmyFe3LVle20x+3oJCMAA187yJEb/&#10;oM+idFC/4s4sYlY0McMxd0HDWVyGbj1w57hYLJITzqplYW02lsfQEbvIxEv7ypw90RWQ6Uc4jyzL&#10;P7DW+XaoL/YBpEqURpw7VE/w45wnpk87GRfp+p683v4c898AAAD//wMAUEsDBBQABgAIAAAAIQAe&#10;jfMG4AAAAAkBAAAPAAAAZHJzL2Rvd25yZXYueG1sTI9LT8MwEITvSPwHa5G4IOo0VgoK2VQI8ZC4&#10;0fAQNzdekoh4HcVuEv497glus5rVzDfFdrG9mGj0nWOE9SoBQVw703GD8Fo9XF6D8EGz0b1jQvgh&#10;D9vy9KTQuXEzv9C0C42IIexzjdCGMORS+rolq/3KDcTR+3Kj1SGeYyPNqOcYbnuZJslGWt1xbGj1&#10;QHct1d+7g0X4vGg+nv3y+DarTA33T1N19W4qxPOz5fYGRKAl/D3DET+iQxmZ9u7AxoseIQ4JCEql&#10;GYijnSbrqPYI2UZlIMtC/l9Q/gIAAP//AwBQSwECLQAUAAYACAAAACEAtoM4kv4AAADhAQAAEwAA&#10;AAAAAAAAAAAAAAAAAAAAW0NvbnRlbnRfVHlwZXNdLnhtbFBLAQItABQABgAIAAAAIQA4/SH/1gAA&#10;AJQBAAALAAAAAAAAAAAAAAAAAC8BAABfcmVscy8ucmVsc1BLAQItABQABgAIAAAAIQBwVAFrRAIA&#10;AIEEAAAOAAAAAAAAAAAAAAAAAC4CAABkcnMvZTJvRG9jLnhtbFBLAQItABQABgAIAAAAIQAejfMG&#10;4AAAAAkBAAAPAAAAAAAAAAAAAAAAAJ4EAABkcnMvZG93bnJldi54bWxQSwUGAAAAAAQABADzAAAA&#10;qwUAAAAA&#10;" fillcolor="white [3201]" stroked="f" strokeweight=".5pt">
                <v:textbox>
                  <w:txbxContent>
                    <w:p w:rsidR="009D6B3F" w:rsidRDefault="009D6B3F">
                      <w:pPr>
                        <w:rPr>
                          <w:rFonts w:ascii="Adelle Sans" w:hAnsi="Adelle Sans"/>
                          <w:b/>
                        </w:rPr>
                      </w:pPr>
                    </w:p>
                    <w:p w:rsidR="003F00B9" w:rsidRPr="006E770B" w:rsidRDefault="003F00B9">
                      <w:pPr>
                        <w:rPr>
                          <w:rFonts w:ascii="Adelle Sans" w:hAnsi="Adelle Sans"/>
                        </w:rPr>
                      </w:pPr>
                      <w:r w:rsidRPr="006E770B">
                        <w:rPr>
                          <w:rFonts w:ascii="Adelle Sans" w:hAnsi="Adelle Sans"/>
                          <w:b/>
                        </w:rPr>
                        <w:t>An example writing frame for argument writing.</w:t>
                      </w:r>
                      <w:r w:rsidRPr="006E770B">
                        <w:rPr>
                          <w:rFonts w:ascii="Adelle Sans" w:hAnsi="Adelle Sans"/>
                        </w:rPr>
                        <w:t xml:space="preserve">  Using an organizer can help learner recognize gaps in their thinking and organization.</w:t>
                      </w:r>
                      <w:r w:rsidR="00501054" w:rsidRPr="006E770B">
                        <w:rPr>
                          <w:rFonts w:ascii="Adelle Sans" w:hAnsi="Adelle Sans"/>
                        </w:rPr>
                        <w:t xml:space="preserve"> This approach helps learners and instructors to look quantitatively at how they have organized their information and to see areas that are under-represented or too detailed and in need of re-organization (Werner-Burke, N. in Borgese, Heyler, &amp; Romano (2012). </w:t>
                      </w:r>
                    </w:p>
                  </w:txbxContent>
                </v:textbox>
                <w10:wrap anchorx="page"/>
              </v:shape>
            </w:pict>
          </mc:Fallback>
        </mc:AlternateContent>
      </w:r>
      <w:r>
        <w:rPr>
          <w:rFonts w:ascii="Adelle Sans" w:hAnsi="Adelle Sans" w:cs="HelveticaNeueLTStd-Bd"/>
          <w:bCs/>
          <w:noProof/>
          <w:sz w:val="23"/>
          <w:szCs w:val="23"/>
        </w:rPr>
        <mc:AlternateContent>
          <mc:Choice Requires="wps">
            <w:drawing>
              <wp:anchor distT="0" distB="0" distL="114300" distR="114300" simplePos="0" relativeHeight="251659264" behindDoc="0" locked="0" layoutInCell="1" allowOverlap="1">
                <wp:simplePos x="0" y="0"/>
                <wp:positionH relativeFrom="margin">
                  <wp:posOffset>4781550</wp:posOffset>
                </wp:positionH>
                <wp:positionV relativeFrom="paragraph">
                  <wp:posOffset>58420</wp:posOffset>
                </wp:positionV>
                <wp:extent cx="1171575" cy="1543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171575" cy="1543050"/>
                        </a:xfrm>
                        <a:prstGeom prst="rect">
                          <a:avLst/>
                        </a:prstGeom>
                        <a:noFill/>
                        <a:ln w="6350">
                          <a:noFill/>
                        </a:ln>
                      </wps:spPr>
                      <wps:txbx>
                        <w:txbxContent>
                          <w:p w:rsidR="00A53766" w:rsidRPr="00FB786A" w:rsidRDefault="00A53766" w:rsidP="00A53766">
                            <w:pPr>
                              <w:spacing w:line="240" w:lineRule="auto"/>
                              <w:rPr>
                                <w:color w:val="FFFFFF" w:themeColor="background1"/>
                              </w:rPr>
                            </w:pPr>
                            <w:r w:rsidRPr="00FB786A">
                              <w:rPr>
                                <w:color w:val="000000" w:themeColor="text1"/>
                              </w:rPr>
                              <w:t>Restate your position and make a conclusion as to what action should be</w:t>
                            </w:r>
                            <w:r w:rsidR="003F00B9" w:rsidRPr="00FB786A">
                              <w:rPr>
                                <w:color w:val="000000" w:themeColor="text1"/>
                              </w:rPr>
                              <w:t xml:space="preserve"> </w:t>
                            </w:r>
                            <w:r w:rsidRPr="00FB786A">
                              <w:rPr>
                                <w:color w:val="000000" w:themeColor="text1"/>
                              </w:rPr>
                              <w:t>taken next on the issue</w:t>
                            </w:r>
                            <w:r w:rsidR="003F00B9" w:rsidRPr="00FB786A">
                              <w:rPr>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376.5pt;margin-top:4.6pt;width:92.25pt;height:1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c4MAIAAFkEAAAOAAAAZHJzL2Uyb0RvYy54bWysVFFv2jAQfp+0/2D5fYRQKF1EqFgrpkmo&#10;rQRTn41jk0i2z7MNCfv1OztAWbenaS/O2Xc+3/d9d5ndd1qRg3C+AVPSfDCkRBgOVWN2Jf2+WX66&#10;o8QHZiqmwIiSHoWn9/OPH2atLcQIalCVcASTGF+0tqR1CLbIMs9roZkfgBUGnRKcZgG3bpdVjrWY&#10;XatsNBzeZi24yjrgwns8feyddJ7ySyl4eJbSi0BUSbG2kFaX1m1cs/mMFTvHbN3wUxnsH6rQrDH4&#10;6CXVIwuM7F3zRyrdcAceZBhw0BlI2XCRMCCafPgOzbpmViQsSI63F5r8/0vLnw4vjjRVSUeUGKZR&#10;oo3oAvkCHRlFdlrrCwxaWwwLHR6jyudzj4cRdCedjl+EQ9CPPB8v3MZkPF7Kp/lkOqGEoy+fjG+G&#10;k8R+9nbdOh++CtAkGiV1KF7ilB1WPmApGHoOia8ZWDZKJQGVIW1Jb28w5W8evKEMXowg+mKjFbpt&#10;lyCPz0C2UB0Rn4O+P7zlywZrWDEfXpjDhkBI2OThGRepAN+Ck0VJDe7n385jPOqEXkpabLCS+h97&#10;5gQl6ptBBT/n43HsyLQZT6Yj3Lhrz/baY/b6AbCHcxwny5MZ44M6m9KBfsVZWMRX0cUMx7dLGs7m&#10;Q+jbHmeJi8UiBWEPWhZWZm15TB25iwxvulfm7EmGgAo+wbkVWfFOjT62Z32xDyCbJFXkuWf1RD/2&#10;b1LwNGtxQK73KertjzD/BQAA//8DAFBLAwQUAAYACAAAACEAEav01eEAAAAJAQAADwAAAGRycy9k&#10;b3ducmV2LnhtbEyPwU7DMBBE70j8g7VI3KiDq9A2ZFNVkSokBIeWXrg58TaJiNchdtvA12NOcBzN&#10;aOZNvp5sL840+s4xwv0sAUFcO9Nxg3B4294tQfig2ejeMSF8kYd1cX2V68y4C+/ovA+NiCXsM43Q&#10;hjBkUvq6Jav9zA3E0Tu60eoQ5dhIM+pLLLe9VEnyIK3uOC60eqCypfpjf7IIz+X2Ve8qZZffffn0&#10;ctwMn4f3FPH2Zto8ggg0hb8w/OJHdCgiU+VObLzoERbpPH4JCCsFIvqr+SIFUSGoVCmQRS7/Pyh+&#10;AAAA//8DAFBLAQItABQABgAIAAAAIQC2gziS/gAAAOEBAAATAAAAAAAAAAAAAAAAAAAAAABbQ29u&#10;dGVudF9UeXBlc10ueG1sUEsBAi0AFAAGAAgAAAAhADj9If/WAAAAlAEAAAsAAAAAAAAAAAAAAAAA&#10;LwEAAF9yZWxzLy5yZWxzUEsBAi0AFAAGAAgAAAAhAHIURzgwAgAAWQQAAA4AAAAAAAAAAAAAAAAA&#10;LgIAAGRycy9lMm9Eb2MueG1sUEsBAi0AFAAGAAgAAAAhABGr9NXhAAAACQEAAA8AAAAAAAAAAAAA&#10;AAAAigQAAGRycy9kb3ducmV2LnhtbFBLBQYAAAAABAAEAPMAAACYBQAAAAA=&#10;" filled="f" stroked="f" strokeweight=".5pt">
                <v:textbox>
                  <w:txbxContent>
                    <w:p w:rsidR="00A53766" w:rsidRPr="00FB786A" w:rsidRDefault="00A53766" w:rsidP="00A53766">
                      <w:pPr>
                        <w:spacing w:line="240" w:lineRule="auto"/>
                        <w:rPr>
                          <w:color w:val="FFFFFF" w:themeColor="background1"/>
                        </w:rPr>
                      </w:pPr>
                      <w:r w:rsidRPr="00FB786A">
                        <w:rPr>
                          <w:color w:val="000000" w:themeColor="text1"/>
                        </w:rPr>
                        <w:t xml:space="preserve">Restate your position and make a conclusion as to what action </w:t>
                      </w:r>
                      <w:proofErr w:type="gramStart"/>
                      <w:r w:rsidRPr="00FB786A">
                        <w:rPr>
                          <w:color w:val="000000" w:themeColor="text1"/>
                        </w:rPr>
                        <w:t>should be</w:t>
                      </w:r>
                      <w:r w:rsidR="003F00B9" w:rsidRPr="00FB786A">
                        <w:rPr>
                          <w:color w:val="000000" w:themeColor="text1"/>
                        </w:rPr>
                        <w:t xml:space="preserve"> </w:t>
                      </w:r>
                      <w:r w:rsidRPr="00FB786A">
                        <w:rPr>
                          <w:color w:val="000000" w:themeColor="text1"/>
                        </w:rPr>
                        <w:t>taken</w:t>
                      </w:r>
                      <w:proofErr w:type="gramEnd"/>
                      <w:r w:rsidRPr="00FB786A">
                        <w:rPr>
                          <w:color w:val="000000" w:themeColor="text1"/>
                        </w:rPr>
                        <w:t xml:space="preserve"> next on the issue</w:t>
                      </w:r>
                      <w:r w:rsidR="003F00B9" w:rsidRPr="00FB786A">
                        <w:rPr>
                          <w:color w:val="000000" w:themeColor="text1"/>
                        </w:rPr>
                        <w:t>.</w:t>
                      </w:r>
                    </w:p>
                  </w:txbxContent>
                </v:textbox>
                <w10:wrap anchorx="margin"/>
              </v:shape>
            </w:pict>
          </mc:Fallback>
        </mc:AlternateContent>
      </w:r>
      <w:bookmarkStart w:id="0" w:name="_GoBack"/>
      <w:r w:rsidR="00A53766">
        <w:rPr>
          <w:rFonts w:ascii="Adelle Sans" w:hAnsi="Adelle Sans" w:cs="HelveticaNeueLTStd-Bd"/>
          <w:bCs/>
          <w:noProof/>
          <w:sz w:val="23"/>
          <w:szCs w:val="23"/>
        </w:rPr>
        <w:drawing>
          <wp:inline distT="0" distB="0" distL="0" distR="0">
            <wp:extent cx="6096000" cy="184785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bookmarkEnd w:id="0"/>
    </w:p>
    <w:sectPr w:rsidR="00A53766" w:rsidRPr="00573942" w:rsidSect="005739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elle Sans">
    <w:panose1 w:val="02000503000000020004"/>
    <w:charset w:val="00"/>
    <w:family w:val="modern"/>
    <w:notTrueType/>
    <w:pitch w:val="variable"/>
    <w:sig w:usb0="80000087" w:usb1="0000004B" w:usb2="00000000" w:usb3="00000000" w:csb0="00000083" w:csb1="00000000"/>
  </w:font>
  <w:font w:name="HelveticaNeueLTStd-B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304"/>
    <w:multiLevelType w:val="hybridMultilevel"/>
    <w:tmpl w:val="B628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A433F"/>
    <w:multiLevelType w:val="hybridMultilevel"/>
    <w:tmpl w:val="22BCC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21443E"/>
    <w:multiLevelType w:val="hybridMultilevel"/>
    <w:tmpl w:val="94A61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1034F"/>
    <w:multiLevelType w:val="hybridMultilevel"/>
    <w:tmpl w:val="4B1C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FB542E"/>
    <w:multiLevelType w:val="hybridMultilevel"/>
    <w:tmpl w:val="3CC02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AE47CB3"/>
    <w:multiLevelType w:val="hybridMultilevel"/>
    <w:tmpl w:val="53125E4C"/>
    <w:lvl w:ilvl="0" w:tplc="FB5E03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283390"/>
    <w:multiLevelType w:val="hybridMultilevel"/>
    <w:tmpl w:val="993A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F7"/>
    <w:rsid w:val="000B121A"/>
    <w:rsid w:val="003F00B9"/>
    <w:rsid w:val="00497213"/>
    <w:rsid w:val="00501054"/>
    <w:rsid w:val="00573942"/>
    <w:rsid w:val="005B7952"/>
    <w:rsid w:val="006802C1"/>
    <w:rsid w:val="00692C77"/>
    <w:rsid w:val="006E770B"/>
    <w:rsid w:val="009147DC"/>
    <w:rsid w:val="00971AF7"/>
    <w:rsid w:val="009D6B3F"/>
    <w:rsid w:val="00A53766"/>
    <w:rsid w:val="00E967AC"/>
    <w:rsid w:val="00FB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D99D"/>
  <w15:chartTrackingRefBased/>
  <w15:docId w15:val="{FEE03C87-2937-44C6-96AB-6AD48735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AF7"/>
    <w:pPr>
      <w:ind w:left="720"/>
      <w:contextualSpacing/>
    </w:pPr>
  </w:style>
  <w:style w:type="paragraph" w:styleId="BalloonText">
    <w:name w:val="Balloon Text"/>
    <w:basedOn w:val="Normal"/>
    <w:link w:val="BalloonTextChar"/>
    <w:uiPriority w:val="99"/>
    <w:semiHidden/>
    <w:unhideWhenUsed/>
    <w:rsid w:val="00692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9EE96B-BA2A-4BDA-A245-92AD9B96B8D1}" type="doc">
      <dgm:prSet loTypeId="urn:microsoft.com/office/officeart/2005/8/layout/hProcess7" loCatId="list" qsTypeId="urn:microsoft.com/office/officeart/2005/8/quickstyle/simple1" qsCatId="simple" csTypeId="urn:microsoft.com/office/officeart/2005/8/colors/accent0_2" csCatId="mainScheme" phldr="1"/>
      <dgm:spPr/>
      <dgm:t>
        <a:bodyPr/>
        <a:lstStyle/>
        <a:p>
          <a:endParaRPr lang="en-US"/>
        </a:p>
      </dgm:t>
    </dgm:pt>
    <dgm:pt modelId="{556D26FA-8DCC-4FB2-85CF-476086362DCE}">
      <dgm:prSet phldrT="[Text]"/>
      <dgm:spPr/>
      <dgm:t>
        <a:bodyPr/>
        <a:lstStyle/>
        <a:p>
          <a:r>
            <a:rPr lang="en-US" b="1"/>
            <a:t>CLAIM</a:t>
          </a:r>
        </a:p>
      </dgm:t>
    </dgm:pt>
    <dgm:pt modelId="{1C0D5E64-358B-4848-8C2C-465198CB483C}" type="parTrans" cxnId="{CBECF969-3EEB-4763-BD3C-835A7EC98E6A}">
      <dgm:prSet/>
      <dgm:spPr/>
      <dgm:t>
        <a:bodyPr/>
        <a:lstStyle/>
        <a:p>
          <a:endParaRPr lang="en-US"/>
        </a:p>
      </dgm:t>
    </dgm:pt>
    <dgm:pt modelId="{E9AB24BC-0324-4168-B414-4BB2990138A9}" type="sibTrans" cxnId="{CBECF969-3EEB-4763-BD3C-835A7EC98E6A}">
      <dgm:prSet/>
      <dgm:spPr/>
      <dgm:t>
        <a:bodyPr/>
        <a:lstStyle/>
        <a:p>
          <a:endParaRPr lang="en-US"/>
        </a:p>
      </dgm:t>
    </dgm:pt>
    <dgm:pt modelId="{C045CD9F-40D7-4DC9-B0B5-AFE3E5E9E3B8}">
      <dgm:prSet phldrT="[Text]"/>
      <dgm:spPr/>
      <dgm:t>
        <a:bodyPr/>
        <a:lstStyle/>
        <a:p>
          <a:r>
            <a:rPr lang="en-US"/>
            <a:t>What position are you taking?</a:t>
          </a:r>
        </a:p>
      </dgm:t>
    </dgm:pt>
    <dgm:pt modelId="{E53396C3-6C01-42F0-B1D8-8AB9127F6876}" type="parTrans" cxnId="{A2F8C386-FF7B-4606-9044-3AD84AA14DBC}">
      <dgm:prSet/>
      <dgm:spPr/>
      <dgm:t>
        <a:bodyPr/>
        <a:lstStyle/>
        <a:p>
          <a:endParaRPr lang="en-US"/>
        </a:p>
      </dgm:t>
    </dgm:pt>
    <dgm:pt modelId="{51A1DF2C-46E6-4C6F-8390-AF8B4E06713E}" type="sibTrans" cxnId="{A2F8C386-FF7B-4606-9044-3AD84AA14DBC}">
      <dgm:prSet/>
      <dgm:spPr/>
      <dgm:t>
        <a:bodyPr/>
        <a:lstStyle/>
        <a:p>
          <a:endParaRPr lang="en-US"/>
        </a:p>
      </dgm:t>
    </dgm:pt>
    <dgm:pt modelId="{0C1AB762-34D0-44E8-A767-259DBA3ABA39}">
      <dgm:prSet phldrT="[Text]"/>
      <dgm:spPr/>
      <dgm:t>
        <a:bodyPr/>
        <a:lstStyle/>
        <a:p>
          <a:r>
            <a:rPr lang="en-US" b="1"/>
            <a:t>Counter -EVIDENCE</a:t>
          </a:r>
        </a:p>
      </dgm:t>
    </dgm:pt>
    <dgm:pt modelId="{D8A9E0A6-8930-4CF1-9228-C394B91CED1A}" type="parTrans" cxnId="{E33FC33A-56D3-4896-9659-A0D2F4319013}">
      <dgm:prSet/>
      <dgm:spPr/>
      <dgm:t>
        <a:bodyPr/>
        <a:lstStyle/>
        <a:p>
          <a:endParaRPr lang="en-US"/>
        </a:p>
      </dgm:t>
    </dgm:pt>
    <dgm:pt modelId="{B4CEC99F-09B4-48D3-BB59-0A294E4AB3A1}" type="sibTrans" cxnId="{E33FC33A-56D3-4896-9659-A0D2F4319013}">
      <dgm:prSet/>
      <dgm:spPr/>
      <dgm:t>
        <a:bodyPr/>
        <a:lstStyle/>
        <a:p>
          <a:endParaRPr lang="en-US"/>
        </a:p>
      </dgm:t>
    </dgm:pt>
    <dgm:pt modelId="{837B094E-2131-4199-984C-977D084099B5}">
      <dgm:prSet phldrT="[Text]"/>
      <dgm:spPr/>
      <dgm:t>
        <a:bodyPr/>
        <a:lstStyle/>
        <a:p>
          <a:r>
            <a:rPr lang="en-US">
              <a:solidFill>
                <a:schemeClr val="tx1"/>
              </a:solidFill>
            </a:rPr>
            <a:t>What reasons, causes, or purposes  are </a:t>
          </a:r>
          <a:r>
            <a:rPr lang="en-US" i="1">
              <a:solidFill>
                <a:schemeClr val="tx1"/>
              </a:solidFill>
            </a:rPr>
            <a:t>identified in your sources</a:t>
          </a:r>
          <a:r>
            <a:rPr lang="en-US">
              <a:solidFill>
                <a:schemeClr val="tx1"/>
              </a:solidFill>
            </a:rPr>
            <a:t> that refute your claim? Address each one with evidence. </a:t>
          </a:r>
          <a:endParaRPr lang="en-US"/>
        </a:p>
      </dgm:t>
    </dgm:pt>
    <dgm:pt modelId="{C1B902EB-BCCA-4829-BDB3-55A62AF5A998}" type="parTrans" cxnId="{1BC5875C-056C-4487-90D6-EB4192FFBD14}">
      <dgm:prSet/>
      <dgm:spPr/>
      <dgm:t>
        <a:bodyPr/>
        <a:lstStyle/>
        <a:p>
          <a:endParaRPr lang="en-US"/>
        </a:p>
      </dgm:t>
    </dgm:pt>
    <dgm:pt modelId="{54F0C726-D891-4F32-93EB-214424FF24A9}" type="sibTrans" cxnId="{1BC5875C-056C-4487-90D6-EB4192FFBD14}">
      <dgm:prSet/>
      <dgm:spPr/>
      <dgm:t>
        <a:bodyPr/>
        <a:lstStyle/>
        <a:p>
          <a:endParaRPr lang="en-US"/>
        </a:p>
      </dgm:t>
    </dgm:pt>
    <dgm:pt modelId="{73E22AC3-60D2-47D7-9584-38293DC91B97}">
      <dgm:prSet phldrT="[Text]"/>
      <dgm:spPr/>
      <dgm:t>
        <a:bodyPr/>
        <a:lstStyle/>
        <a:p>
          <a:r>
            <a:rPr lang="en-US" b="1"/>
            <a:t>EVIDENCE</a:t>
          </a:r>
        </a:p>
      </dgm:t>
    </dgm:pt>
    <dgm:pt modelId="{5693E05C-1023-4E41-8CD9-447B5099EE2E}" type="parTrans" cxnId="{B14AA8A5-5710-4750-8131-0E6D479B7272}">
      <dgm:prSet/>
      <dgm:spPr/>
      <dgm:t>
        <a:bodyPr/>
        <a:lstStyle/>
        <a:p>
          <a:endParaRPr lang="en-US"/>
        </a:p>
      </dgm:t>
    </dgm:pt>
    <dgm:pt modelId="{7E138E3E-5BD4-465C-8751-2AF74DFEA128}" type="sibTrans" cxnId="{B14AA8A5-5710-4750-8131-0E6D479B7272}">
      <dgm:prSet/>
      <dgm:spPr/>
      <dgm:t>
        <a:bodyPr/>
        <a:lstStyle/>
        <a:p>
          <a:endParaRPr lang="en-US"/>
        </a:p>
      </dgm:t>
    </dgm:pt>
    <dgm:pt modelId="{38BEAB01-32CD-4D8C-A845-885A7B4A14E5}">
      <dgm:prSet phldrT="[Text]"/>
      <dgm:spPr/>
      <dgm:t>
        <a:bodyPr/>
        <a:lstStyle/>
        <a:p>
          <a:r>
            <a:rPr lang="en-US">
              <a:solidFill>
                <a:schemeClr val="tx1"/>
              </a:solidFill>
            </a:rPr>
            <a:t>What reasons, causes, or purposes are </a:t>
          </a:r>
          <a:r>
            <a:rPr lang="en-US" i="1">
              <a:solidFill>
                <a:schemeClr val="tx1"/>
              </a:solidFill>
            </a:rPr>
            <a:t>identified in your sources </a:t>
          </a:r>
          <a:r>
            <a:rPr lang="en-US">
              <a:solidFill>
                <a:schemeClr val="tx1"/>
              </a:solidFill>
            </a:rPr>
            <a:t>to support your claim? </a:t>
          </a:r>
        </a:p>
      </dgm:t>
    </dgm:pt>
    <dgm:pt modelId="{1B290460-0333-4FD3-977F-29FBCC10F188}" type="parTrans" cxnId="{B62EC74D-9489-4963-ABC5-0B96C64BA8C2}">
      <dgm:prSet/>
      <dgm:spPr/>
      <dgm:t>
        <a:bodyPr/>
        <a:lstStyle/>
        <a:p>
          <a:endParaRPr lang="en-US"/>
        </a:p>
      </dgm:t>
    </dgm:pt>
    <dgm:pt modelId="{931D11D3-0CB9-4BDC-BEAC-4AA4F7AF080D}" type="sibTrans" cxnId="{B62EC74D-9489-4963-ABC5-0B96C64BA8C2}">
      <dgm:prSet/>
      <dgm:spPr/>
      <dgm:t>
        <a:bodyPr/>
        <a:lstStyle/>
        <a:p>
          <a:endParaRPr lang="en-US"/>
        </a:p>
      </dgm:t>
    </dgm:pt>
    <dgm:pt modelId="{30D3C3C6-E4A9-49F2-B8D1-89F565769014}">
      <dgm:prSet/>
      <dgm:spPr/>
      <dgm:t>
        <a:bodyPr/>
        <a:lstStyle/>
        <a:p>
          <a:r>
            <a:rPr lang="en-US" b="1"/>
            <a:t>RESTATE YOUR CLAIM</a:t>
          </a:r>
        </a:p>
      </dgm:t>
    </dgm:pt>
    <dgm:pt modelId="{5290CE92-39C0-4F6D-B42C-6D96AA5CDE51}" type="parTrans" cxnId="{AAE3062C-CC07-47BB-95A8-27217E7A7BE2}">
      <dgm:prSet/>
      <dgm:spPr/>
      <dgm:t>
        <a:bodyPr/>
        <a:lstStyle/>
        <a:p>
          <a:endParaRPr lang="en-US"/>
        </a:p>
      </dgm:t>
    </dgm:pt>
    <dgm:pt modelId="{945DAAC3-F1BC-4BDF-A27F-7E2257474043}" type="sibTrans" cxnId="{AAE3062C-CC07-47BB-95A8-27217E7A7BE2}">
      <dgm:prSet/>
      <dgm:spPr/>
      <dgm:t>
        <a:bodyPr/>
        <a:lstStyle/>
        <a:p>
          <a:endParaRPr lang="en-US"/>
        </a:p>
      </dgm:t>
    </dgm:pt>
    <dgm:pt modelId="{DBE9C0C6-BBDA-4470-B719-5F79A12206F0}">
      <dgm:prSet/>
      <dgm:spPr/>
      <dgm:t>
        <a:bodyPr/>
        <a:lstStyle/>
        <a:p>
          <a:endParaRPr lang="en-US"/>
        </a:p>
      </dgm:t>
    </dgm:pt>
    <dgm:pt modelId="{C4646C38-620C-43F9-AF4E-68BA8160A23B}" type="parTrans" cxnId="{27F91212-3A7B-4B38-BC20-00D788C5DA3A}">
      <dgm:prSet/>
      <dgm:spPr/>
      <dgm:t>
        <a:bodyPr/>
        <a:lstStyle/>
        <a:p>
          <a:endParaRPr lang="en-US"/>
        </a:p>
      </dgm:t>
    </dgm:pt>
    <dgm:pt modelId="{E87CB94C-D803-4EAE-BABE-307D250E4869}" type="sibTrans" cxnId="{27F91212-3A7B-4B38-BC20-00D788C5DA3A}">
      <dgm:prSet/>
      <dgm:spPr/>
      <dgm:t>
        <a:bodyPr/>
        <a:lstStyle/>
        <a:p>
          <a:endParaRPr lang="en-US"/>
        </a:p>
      </dgm:t>
    </dgm:pt>
    <dgm:pt modelId="{09531C9F-8DAF-4672-8ACD-FC821713D23F}">
      <dgm:prSet/>
      <dgm:spPr/>
      <dgm:t>
        <a:bodyPr/>
        <a:lstStyle/>
        <a:p>
          <a:endParaRPr lang="en-US"/>
        </a:p>
      </dgm:t>
    </dgm:pt>
    <dgm:pt modelId="{3A29D180-06B9-4975-B11C-F379625509D3}" type="parTrans" cxnId="{475B929F-FDDF-4617-93F5-CDD1A350E041}">
      <dgm:prSet/>
      <dgm:spPr/>
      <dgm:t>
        <a:bodyPr/>
        <a:lstStyle/>
        <a:p>
          <a:endParaRPr lang="en-US"/>
        </a:p>
      </dgm:t>
    </dgm:pt>
    <dgm:pt modelId="{4F838950-7EAC-42D2-B5DC-10818D43E11F}" type="sibTrans" cxnId="{475B929F-FDDF-4617-93F5-CDD1A350E041}">
      <dgm:prSet/>
      <dgm:spPr/>
      <dgm:t>
        <a:bodyPr/>
        <a:lstStyle/>
        <a:p>
          <a:endParaRPr lang="en-US"/>
        </a:p>
      </dgm:t>
    </dgm:pt>
    <dgm:pt modelId="{098CC0C0-516F-40C4-89BC-14791CF89F4C}" type="pres">
      <dgm:prSet presAssocID="{E89EE96B-BA2A-4BDA-A245-92AD9B96B8D1}" presName="Name0" presStyleCnt="0">
        <dgm:presLayoutVars>
          <dgm:dir/>
          <dgm:animLvl val="lvl"/>
          <dgm:resizeHandles val="exact"/>
        </dgm:presLayoutVars>
      </dgm:prSet>
      <dgm:spPr/>
      <dgm:t>
        <a:bodyPr/>
        <a:lstStyle/>
        <a:p>
          <a:endParaRPr lang="en-US"/>
        </a:p>
      </dgm:t>
    </dgm:pt>
    <dgm:pt modelId="{80358F34-0E27-473E-923F-D11FD9FF5444}" type="pres">
      <dgm:prSet presAssocID="{556D26FA-8DCC-4FB2-85CF-476086362DCE}" presName="compositeNode" presStyleCnt="0">
        <dgm:presLayoutVars>
          <dgm:bulletEnabled val="1"/>
        </dgm:presLayoutVars>
      </dgm:prSet>
      <dgm:spPr/>
    </dgm:pt>
    <dgm:pt modelId="{CD20B4FD-D96F-42EF-AC8B-614503ADC342}" type="pres">
      <dgm:prSet presAssocID="{556D26FA-8DCC-4FB2-85CF-476086362DCE}" presName="bgRect" presStyleLbl="node1" presStyleIdx="0" presStyleCnt="4" custLinFactNeighborX="5027"/>
      <dgm:spPr/>
      <dgm:t>
        <a:bodyPr/>
        <a:lstStyle/>
        <a:p>
          <a:endParaRPr lang="en-US"/>
        </a:p>
      </dgm:t>
    </dgm:pt>
    <dgm:pt modelId="{508427D0-8C92-48BF-9B3A-B7978B85A0B7}" type="pres">
      <dgm:prSet presAssocID="{556D26FA-8DCC-4FB2-85CF-476086362DCE}" presName="parentNode" presStyleLbl="node1" presStyleIdx="0" presStyleCnt="4">
        <dgm:presLayoutVars>
          <dgm:chMax val="0"/>
          <dgm:bulletEnabled val="1"/>
        </dgm:presLayoutVars>
      </dgm:prSet>
      <dgm:spPr/>
      <dgm:t>
        <a:bodyPr/>
        <a:lstStyle/>
        <a:p>
          <a:endParaRPr lang="en-US"/>
        </a:p>
      </dgm:t>
    </dgm:pt>
    <dgm:pt modelId="{CF368B36-63F3-4C9A-AAAA-ED965116618F}" type="pres">
      <dgm:prSet presAssocID="{556D26FA-8DCC-4FB2-85CF-476086362DCE}" presName="childNode" presStyleLbl="node1" presStyleIdx="0" presStyleCnt="4">
        <dgm:presLayoutVars>
          <dgm:bulletEnabled val="1"/>
        </dgm:presLayoutVars>
      </dgm:prSet>
      <dgm:spPr/>
      <dgm:t>
        <a:bodyPr/>
        <a:lstStyle/>
        <a:p>
          <a:endParaRPr lang="en-US"/>
        </a:p>
      </dgm:t>
    </dgm:pt>
    <dgm:pt modelId="{670404FF-D9BF-4982-8490-9346588ACBDD}" type="pres">
      <dgm:prSet presAssocID="{E9AB24BC-0324-4168-B414-4BB2990138A9}" presName="hSp" presStyleCnt="0"/>
      <dgm:spPr/>
    </dgm:pt>
    <dgm:pt modelId="{8BD0A1C5-0738-4268-B9D0-64CD6E5AF3F8}" type="pres">
      <dgm:prSet presAssocID="{E9AB24BC-0324-4168-B414-4BB2990138A9}" presName="vProcSp" presStyleCnt="0"/>
      <dgm:spPr/>
    </dgm:pt>
    <dgm:pt modelId="{6002BBB6-87A0-4724-8898-18E0315540E3}" type="pres">
      <dgm:prSet presAssocID="{E9AB24BC-0324-4168-B414-4BB2990138A9}" presName="vSp1" presStyleCnt="0"/>
      <dgm:spPr/>
    </dgm:pt>
    <dgm:pt modelId="{C7B010E5-D180-4D2F-B42B-73B2011EFC26}" type="pres">
      <dgm:prSet presAssocID="{E9AB24BC-0324-4168-B414-4BB2990138A9}" presName="simulatedConn" presStyleLbl="solidFgAcc1" presStyleIdx="0" presStyleCnt="3"/>
      <dgm:spPr/>
    </dgm:pt>
    <dgm:pt modelId="{27546D85-344B-45FC-9FB1-D2BBAF836F54}" type="pres">
      <dgm:prSet presAssocID="{E9AB24BC-0324-4168-B414-4BB2990138A9}" presName="vSp2" presStyleCnt="0"/>
      <dgm:spPr/>
    </dgm:pt>
    <dgm:pt modelId="{9FB21139-E658-45F7-AE64-8EF1B75E5977}" type="pres">
      <dgm:prSet presAssocID="{E9AB24BC-0324-4168-B414-4BB2990138A9}" presName="sibTrans" presStyleCnt="0"/>
      <dgm:spPr/>
    </dgm:pt>
    <dgm:pt modelId="{50318AC5-382F-489C-8723-5435248D76E1}" type="pres">
      <dgm:prSet presAssocID="{0C1AB762-34D0-44E8-A767-259DBA3ABA39}" presName="compositeNode" presStyleCnt="0">
        <dgm:presLayoutVars>
          <dgm:bulletEnabled val="1"/>
        </dgm:presLayoutVars>
      </dgm:prSet>
      <dgm:spPr/>
    </dgm:pt>
    <dgm:pt modelId="{E84EE410-87B2-4D25-96B8-717156104DAC}" type="pres">
      <dgm:prSet presAssocID="{0C1AB762-34D0-44E8-A767-259DBA3ABA39}" presName="bgRect" presStyleLbl="node1" presStyleIdx="1" presStyleCnt="4"/>
      <dgm:spPr/>
      <dgm:t>
        <a:bodyPr/>
        <a:lstStyle/>
        <a:p>
          <a:endParaRPr lang="en-US"/>
        </a:p>
      </dgm:t>
    </dgm:pt>
    <dgm:pt modelId="{251EB899-0CD6-40EA-95B1-A9E7F076DFB3}" type="pres">
      <dgm:prSet presAssocID="{0C1AB762-34D0-44E8-A767-259DBA3ABA39}" presName="parentNode" presStyleLbl="node1" presStyleIdx="1" presStyleCnt="4">
        <dgm:presLayoutVars>
          <dgm:chMax val="0"/>
          <dgm:bulletEnabled val="1"/>
        </dgm:presLayoutVars>
      </dgm:prSet>
      <dgm:spPr/>
      <dgm:t>
        <a:bodyPr/>
        <a:lstStyle/>
        <a:p>
          <a:endParaRPr lang="en-US"/>
        </a:p>
      </dgm:t>
    </dgm:pt>
    <dgm:pt modelId="{B58259EC-9B5C-46F1-B42F-2E9C5CE0CAFD}" type="pres">
      <dgm:prSet presAssocID="{0C1AB762-34D0-44E8-A767-259DBA3ABA39}" presName="childNode" presStyleLbl="node1" presStyleIdx="1" presStyleCnt="4">
        <dgm:presLayoutVars>
          <dgm:bulletEnabled val="1"/>
        </dgm:presLayoutVars>
      </dgm:prSet>
      <dgm:spPr/>
      <dgm:t>
        <a:bodyPr/>
        <a:lstStyle/>
        <a:p>
          <a:endParaRPr lang="en-US"/>
        </a:p>
      </dgm:t>
    </dgm:pt>
    <dgm:pt modelId="{A2C46625-A11A-4B2B-9C3F-668B32B227A9}" type="pres">
      <dgm:prSet presAssocID="{B4CEC99F-09B4-48D3-BB59-0A294E4AB3A1}" presName="hSp" presStyleCnt="0"/>
      <dgm:spPr/>
    </dgm:pt>
    <dgm:pt modelId="{60F9FEB2-217B-48B2-9394-2EB467711582}" type="pres">
      <dgm:prSet presAssocID="{B4CEC99F-09B4-48D3-BB59-0A294E4AB3A1}" presName="vProcSp" presStyleCnt="0"/>
      <dgm:spPr/>
    </dgm:pt>
    <dgm:pt modelId="{E528800B-CC39-4875-8A32-7EEA00AD8D71}" type="pres">
      <dgm:prSet presAssocID="{B4CEC99F-09B4-48D3-BB59-0A294E4AB3A1}" presName="vSp1" presStyleCnt="0"/>
      <dgm:spPr/>
    </dgm:pt>
    <dgm:pt modelId="{EC30CEF4-EDFF-4811-8E2E-A9854F9272D5}" type="pres">
      <dgm:prSet presAssocID="{B4CEC99F-09B4-48D3-BB59-0A294E4AB3A1}" presName="simulatedConn" presStyleLbl="solidFgAcc1" presStyleIdx="1" presStyleCnt="3"/>
      <dgm:spPr/>
    </dgm:pt>
    <dgm:pt modelId="{0688FC82-FA86-41D5-B4C1-C31331227CF8}" type="pres">
      <dgm:prSet presAssocID="{B4CEC99F-09B4-48D3-BB59-0A294E4AB3A1}" presName="vSp2" presStyleCnt="0"/>
      <dgm:spPr/>
    </dgm:pt>
    <dgm:pt modelId="{82B4A681-DD30-4724-AFAE-A99FA00DD0B8}" type="pres">
      <dgm:prSet presAssocID="{B4CEC99F-09B4-48D3-BB59-0A294E4AB3A1}" presName="sibTrans" presStyleCnt="0"/>
      <dgm:spPr/>
    </dgm:pt>
    <dgm:pt modelId="{BE5DA275-DD4D-4D3D-A4FE-82362EB15F0B}" type="pres">
      <dgm:prSet presAssocID="{73E22AC3-60D2-47D7-9584-38293DC91B97}" presName="compositeNode" presStyleCnt="0">
        <dgm:presLayoutVars>
          <dgm:bulletEnabled val="1"/>
        </dgm:presLayoutVars>
      </dgm:prSet>
      <dgm:spPr/>
    </dgm:pt>
    <dgm:pt modelId="{A04C53BC-7932-402A-8572-8F8AAF4B132F}" type="pres">
      <dgm:prSet presAssocID="{73E22AC3-60D2-47D7-9584-38293DC91B97}" presName="bgRect" presStyleLbl="node1" presStyleIdx="2" presStyleCnt="4"/>
      <dgm:spPr/>
      <dgm:t>
        <a:bodyPr/>
        <a:lstStyle/>
        <a:p>
          <a:endParaRPr lang="en-US"/>
        </a:p>
      </dgm:t>
    </dgm:pt>
    <dgm:pt modelId="{F6AA4E61-B654-4D04-B8DF-CA2C432E71A4}" type="pres">
      <dgm:prSet presAssocID="{73E22AC3-60D2-47D7-9584-38293DC91B97}" presName="parentNode" presStyleLbl="node1" presStyleIdx="2" presStyleCnt="4">
        <dgm:presLayoutVars>
          <dgm:chMax val="0"/>
          <dgm:bulletEnabled val="1"/>
        </dgm:presLayoutVars>
      </dgm:prSet>
      <dgm:spPr/>
      <dgm:t>
        <a:bodyPr/>
        <a:lstStyle/>
        <a:p>
          <a:endParaRPr lang="en-US"/>
        </a:p>
      </dgm:t>
    </dgm:pt>
    <dgm:pt modelId="{04C39003-D582-4D3A-B42D-FB178A8E411A}" type="pres">
      <dgm:prSet presAssocID="{73E22AC3-60D2-47D7-9584-38293DC91B97}" presName="childNode" presStyleLbl="node1" presStyleIdx="2" presStyleCnt="4">
        <dgm:presLayoutVars>
          <dgm:bulletEnabled val="1"/>
        </dgm:presLayoutVars>
      </dgm:prSet>
      <dgm:spPr/>
      <dgm:t>
        <a:bodyPr/>
        <a:lstStyle/>
        <a:p>
          <a:endParaRPr lang="en-US"/>
        </a:p>
      </dgm:t>
    </dgm:pt>
    <dgm:pt modelId="{3A7CC9AA-5B80-4772-8A4D-064178FC0D37}" type="pres">
      <dgm:prSet presAssocID="{7E138E3E-5BD4-465C-8751-2AF74DFEA128}" presName="hSp" presStyleCnt="0"/>
      <dgm:spPr/>
    </dgm:pt>
    <dgm:pt modelId="{7ABA25D6-9873-49FF-BA3B-7C9137566A5E}" type="pres">
      <dgm:prSet presAssocID="{7E138E3E-5BD4-465C-8751-2AF74DFEA128}" presName="vProcSp" presStyleCnt="0"/>
      <dgm:spPr/>
    </dgm:pt>
    <dgm:pt modelId="{C6A2B781-E430-45F6-92B5-2B302686F5BF}" type="pres">
      <dgm:prSet presAssocID="{7E138E3E-5BD4-465C-8751-2AF74DFEA128}" presName="vSp1" presStyleCnt="0"/>
      <dgm:spPr/>
    </dgm:pt>
    <dgm:pt modelId="{34CE9F0A-427E-4A64-BAEF-3AB5EF6C2FC9}" type="pres">
      <dgm:prSet presAssocID="{7E138E3E-5BD4-465C-8751-2AF74DFEA128}" presName="simulatedConn" presStyleLbl="solidFgAcc1" presStyleIdx="2" presStyleCnt="3"/>
      <dgm:spPr/>
    </dgm:pt>
    <dgm:pt modelId="{58072CA7-E537-4D5F-A25D-F8D46D6AD5AE}" type="pres">
      <dgm:prSet presAssocID="{7E138E3E-5BD4-465C-8751-2AF74DFEA128}" presName="vSp2" presStyleCnt="0"/>
      <dgm:spPr/>
    </dgm:pt>
    <dgm:pt modelId="{1E15942F-B2C5-4D32-BF93-0FBE1D3A6757}" type="pres">
      <dgm:prSet presAssocID="{7E138E3E-5BD4-465C-8751-2AF74DFEA128}" presName="sibTrans" presStyleCnt="0"/>
      <dgm:spPr/>
    </dgm:pt>
    <dgm:pt modelId="{0C42C987-1D46-4D2E-8B1F-ABD98CB58FFF}" type="pres">
      <dgm:prSet presAssocID="{30D3C3C6-E4A9-49F2-B8D1-89F565769014}" presName="compositeNode" presStyleCnt="0">
        <dgm:presLayoutVars>
          <dgm:bulletEnabled val="1"/>
        </dgm:presLayoutVars>
      </dgm:prSet>
      <dgm:spPr/>
    </dgm:pt>
    <dgm:pt modelId="{7F1B5CDB-2C1B-4F10-8CB9-65B9DED6D65E}" type="pres">
      <dgm:prSet presAssocID="{30D3C3C6-E4A9-49F2-B8D1-89F565769014}" presName="bgRect" presStyleLbl="node1" presStyleIdx="3" presStyleCnt="4"/>
      <dgm:spPr/>
      <dgm:t>
        <a:bodyPr/>
        <a:lstStyle/>
        <a:p>
          <a:endParaRPr lang="en-US"/>
        </a:p>
      </dgm:t>
    </dgm:pt>
    <dgm:pt modelId="{5C603202-E7FD-4498-AFEA-E74FB696FE42}" type="pres">
      <dgm:prSet presAssocID="{30D3C3C6-E4A9-49F2-B8D1-89F565769014}" presName="parentNode" presStyleLbl="node1" presStyleIdx="3" presStyleCnt="4">
        <dgm:presLayoutVars>
          <dgm:chMax val="0"/>
          <dgm:bulletEnabled val="1"/>
        </dgm:presLayoutVars>
      </dgm:prSet>
      <dgm:spPr/>
      <dgm:t>
        <a:bodyPr/>
        <a:lstStyle/>
        <a:p>
          <a:endParaRPr lang="en-US"/>
        </a:p>
      </dgm:t>
    </dgm:pt>
  </dgm:ptLst>
  <dgm:cxnLst>
    <dgm:cxn modelId="{E33FC33A-56D3-4896-9659-A0D2F4319013}" srcId="{E89EE96B-BA2A-4BDA-A245-92AD9B96B8D1}" destId="{0C1AB762-34D0-44E8-A767-259DBA3ABA39}" srcOrd="1" destOrd="0" parTransId="{D8A9E0A6-8930-4CF1-9228-C394B91CED1A}" sibTransId="{B4CEC99F-09B4-48D3-BB59-0A294E4AB3A1}"/>
    <dgm:cxn modelId="{9E6CD98C-A83D-408E-BBB0-7F368B1841A1}" type="presOf" srcId="{837B094E-2131-4199-984C-977D084099B5}" destId="{B58259EC-9B5C-46F1-B42F-2E9C5CE0CAFD}" srcOrd="0" destOrd="0" presId="urn:microsoft.com/office/officeart/2005/8/layout/hProcess7"/>
    <dgm:cxn modelId="{CBECF969-3EEB-4763-BD3C-835A7EC98E6A}" srcId="{E89EE96B-BA2A-4BDA-A245-92AD9B96B8D1}" destId="{556D26FA-8DCC-4FB2-85CF-476086362DCE}" srcOrd="0" destOrd="0" parTransId="{1C0D5E64-358B-4848-8C2C-465198CB483C}" sibTransId="{E9AB24BC-0324-4168-B414-4BB2990138A9}"/>
    <dgm:cxn modelId="{920CB1A0-4AAC-4D4E-9972-3EF19E8B7E5F}" type="presOf" srcId="{0C1AB762-34D0-44E8-A767-259DBA3ABA39}" destId="{E84EE410-87B2-4D25-96B8-717156104DAC}" srcOrd="0" destOrd="0" presId="urn:microsoft.com/office/officeart/2005/8/layout/hProcess7"/>
    <dgm:cxn modelId="{B62EC74D-9489-4963-ABC5-0B96C64BA8C2}" srcId="{73E22AC3-60D2-47D7-9584-38293DC91B97}" destId="{38BEAB01-32CD-4D8C-A845-885A7B4A14E5}" srcOrd="0" destOrd="0" parTransId="{1B290460-0333-4FD3-977F-29FBCC10F188}" sibTransId="{931D11D3-0CB9-4BDC-BEAC-4AA4F7AF080D}"/>
    <dgm:cxn modelId="{1216772D-0ADF-475A-85B9-A2488858DE63}" type="presOf" srcId="{30D3C3C6-E4A9-49F2-B8D1-89F565769014}" destId="{7F1B5CDB-2C1B-4F10-8CB9-65B9DED6D65E}" srcOrd="0" destOrd="0" presId="urn:microsoft.com/office/officeart/2005/8/layout/hProcess7"/>
    <dgm:cxn modelId="{8B56D0E4-B37C-478F-9DF7-9AFC9270C22A}" type="presOf" srcId="{0C1AB762-34D0-44E8-A767-259DBA3ABA39}" destId="{251EB899-0CD6-40EA-95B1-A9E7F076DFB3}" srcOrd="1" destOrd="0" presId="urn:microsoft.com/office/officeart/2005/8/layout/hProcess7"/>
    <dgm:cxn modelId="{1BC5875C-056C-4487-90D6-EB4192FFBD14}" srcId="{0C1AB762-34D0-44E8-A767-259DBA3ABA39}" destId="{837B094E-2131-4199-984C-977D084099B5}" srcOrd="0" destOrd="0" parTransId="{C1B902EB-BCCA-4829-BDB3-55A62AF5A998}" sibTransId="{54F0C726-D891-4F32-93EB-214424FF24A9}"/>
    <dgm:cxn modelId="{35DEF32C-BBC4-4DFF-B3E2-F6F7DBFD6B08}" type="presOf" srcId="{38BEAB01-32CD-4D8C-A845-885A7B4A14E5}" destId="{04C39003-D582-4D3A-B42D-FB178A8E411A}" srcOrd="0" destOrd="0" presId="urn:microsoft.com/office/officeart/2005/8/layout/hProcess7"/>
    <dgm:cxn modelId="{475B929F-FDDF-4617-93F5-CDD1A350E041}" srcId="{73E22AC3-60D2-47D7-9584-38293DC91B97}" destId="{09531C9F-8DAF-4672-8ACD-FC821713D23F}" srcOrd="1" destOrd="0" parTransId="{3A29D180-06B9-4975-B11C-F379625509D3}" sibTransId="{4F838950-7EAC-42D2-B5DC-10818D43E11F}"/>
    <dgm:cxn modelId="{46FCD64C-0386-41FA-8353-1A7848428822}" type="presOf" srcId="{09531C9F-8DAF-4672-8ACD-FC821713D23F}" destId="{04C39003-D582-4D3A-B42D-FB178A8E411A}" srcOrd="0" destOrd="1" presId="urn:microsoft.com/office/officeart/2005/8/layout/hProcess7"/>
    <dgm:cxn modelId="{B4FAA80B-967F-4DF8-85C2-BBC048F3C4D9}" type="presOf" srcId="{30D3C3C6-E4A9-49F2-B8D1-89F565769014}" destId="{5C603202-E7FD-4498-AFEA-E74FB696FE42}" srcOrd="1" destOrd="0" presId="urn:microsoft.com/office/officeart/2005/8/layout/hProcess7"/>
    <dgm:cxn modelId="{27F91212-3A7B-4B38-BC20-00D788C5DA3A}" srcId="{0C1AB762-34D0-44E8-A767-259DBA3ABA39}" destId="{DBE9C0C6-BBDA-4470-B719-5F79A12206F0}" srcOrd="1" destOrd="0" parTransId="{C4646C38-620C-43F9-AF4E-68BA8160A23B}" sibTransId="{E87CB94C-D803-4EAE-BABE-307D250E4869}"/>
    <dgm:cxn modelId="{57268BC5-58DA-4319-B1D8-E5228905D878}" type="presOf" srcId="{73E22AC3-60D2-47D7-9584-38293DC91B97}" destId="{F6AA4E61-B654-4D04-B8DF-CA2C432E71A4}" srcOrd="1" destOrd="0" presId="urn:microsoft.com/office/officeart/2005/8/layout/hProcess7"/>
    <dgm:cxn modelId="{AAE3062C-CC07-47BB-95A8-27217E7A7BE2}" srcId="{E89EE96B-BA2A-4BDA-A245-92AD9B96B8D1}" destId="{30D3C3C6-E4A9-49F2-B8D1-89F565769014}" srcOrd="3" destOrd="0" parTransId="{5290CE92-39C0-4F6D-B42C-6D96AA5CDE51}" sibTransId="{945DAAC3-F1BC-4BDF-A27F-7E2257474043}"/>
    <dgm:cxn modelId="{11AF4195-8695-4B34-ADE2-44EECA08CA86}" type="presOf" srcId="{556D26FA-8DCC-4FB2-85CF-476086362DCE}" destId="{508427D0-8C92-48BF-9B3A-B7978B85A0B7}" srcOrd="1" destOrd="0" presId="urn:microsoft.com/office/officeart/2005/8/layout/hProcess7"/>
    <dgm:cxn modelId="{678869A2-F302-4405-8877-CACEAB8E1C9F}" type="presOf" srcId="{C045CD9F-40D7-4DC9-B0B5-AFE3E5E9E3B8}" destId="{CF368B36-63F3-4C9A-AAAA-ED965116618F}" srcOrd="0" destOrd="0" presId="urn:microsoft.com/office/officeart/2005/8/layout/hProcess7"/>
    <dgm:cxn modelId="{82E745D8-074C-4D2C-90EA-D3D3D0592551}" type="presOf" srcId="{73E22AC3-60D2-47D7-9584-38293DC91B97}" destId="{A04C53BC-7932-402A-8572-8F8AAF4B132F}" srcOrd="0" destOrd="0" presId="urn:microsoft.com/office/officeart/2005/8/layout/hProcess7"/>
    <dgm:cxn modelId="{B14AA8A5-5710-4750-8131-0E6D479B7272}" srcId="{E89EE96B-BA2A-4BDA-A245-92AD9B96B8D1}" destId="{73E22AC3-60D2-47D7-9584-38293DC91B97}" srcOrd="2" destOrd="0" parTransId="{5693E05C-1023-4E41-8CD9-447B5099EE2E}" sibTransId="{7E138E3E-5BD4-465C-8751-2AF74DFEA128}"/>
    <dgm:cxn modelId="{A2F8C386-FF7B-4606-9044-3AD84AA14DBC}" srcId="{556D26FA-8DCC-4FB2-85CF-476086362DCE}" destId="{C045CD9F-40D7-4DC9-B0B5-AFE3E5E9E3B8}" srcOrd="0" destOrd="0" parTransId="{E53396C3-6C01-42F0-B1D8-8AB9127F6876}" sibTransId="{51A1DF2C-46E6-4C6F-8390-AF8B4E06713E}"/>
    <dgm:cxn modelId="{71921D38-6179-42F4-AA38-999DCD848720}" type="presOf" srcId="{E89EE96B-BA2A-4BDA-A245-92AD9B96B8D1}" destId="{098CC0C0-516F-40C4-89BC-14791CF89F4C}" srcOrd="0" destOrd="0" presId="urn:microsoft.com/office/officeart/2005/8/layout/hProcess7"/>
    <dgm:cxn modelId="{B8EBAA2D-722A-4D60-AF29-D2FC842C865A}" type="presOf" srcId="{DBE9C0C6-BBDA-4470-B719-5F79A12206F0}" destId="{B58259EC-9B5C-46F1-B42F-2E9C5CE0CAFD}" srcOrd="0" destOrd="1" presId="urn:microsoft.com/office/officeart/2005/8/layout/hProcess7"/>
    <dgm:cxn modelId="{C2AE54E7-DEE6-478A-8F80-722FB07CDDF9}" type="presOf" srcId="{556D26FA-8DCC-4FB2-85CF-476086362DCE}" destId="{CD20B4FD-D96F-42EF-AC8B-614503ADC342}" srcOrd="0" destOrd="0" presId="urn:microsoft.com/office/officeart/2005/8/layout/hProcess7"/>
    <dgm:cxn modelId="{14672669-004A-4496-AF00-3DE9D4D41246}" type="presParOf" srcId="{098CC0C0-516F-40C4-89BC-14791CF89F4C}" destId="{80358F34-0E27-473E-923F-D11FD9FF5444}" srcOrd="0" destOrd="0" presId="urn:microsoft.com/office/officeart/2005/8/layout/hProcess7"/>
    <dgm:cxn modelId="{4B63D4C6-2A53-4119-9947-CEE1A5FF9E91}" type="presParOf" srcId="{80358F34-0E27-473E-923F-D11FD9FF5444}" destId="{CD20B4FD-D96F-42EF-AC8B-614503ADC342}" srcOrd="0" destOrd="0" presId="urn:microsoft.com/office/officeart/2005/8/layout/hProcess7"/>
    <dgm:cxn modelId="{72A2B5E5-EB64-41ED-9C6E-248907376DA0}" type="presParOf" srcId="{80358F34-0E27-473E-923F-D11FD9FF5444}" destId="{508427D0-8C92-48BF-9B3A-B7978B85A0B7}" srcOrd="1" destOrd="0" presId="urn:microsoft.com/office/officeart/2005/8/layout/hProcess7"/>
    <dgm:cxn modelId="{DF08AAD6-A10A-4741-9A68-DAE2A27422C2}" type="presParOf" srcId="{80358F34-0E27-473E-923F-D11FD9FF5444}" destId="{CF368B36-63F3-4C9A-AAAA-ED965116618F}" srcOrd="2" destOrd="0" presId="urn:microsoft.com/office/officeart/2005/8/layout/hProcess7"/>
    <dgm:cxn modelId="{68BD7EDC-AB2A-4801-8F09-65D857AC78BC}" type="presParOf" srcId="{098CC0C0-516F-40C4-89BC-14791CF89F4C}" destId="{670404FF-D9BF-4982-8490-9346588ACBDD}" srcOrd="1" destOrd="0" presId="urn:microsoft.com/office/officeart/2005/8/layout/hProcess7"/>
    <dgm:cxn modelId="{50E565DC-397A-45DC-B23F-CE886E30ADD2}" type="presParOf" srcId="{098CC0C0-516F-40C4-89BC-14791CF89F4C}" destId="{8BD0A1C5-0738-4268-B9D0-64CD6E5AF3F8}" srcOrd="2" destOrd="0" presId="urn:microsoft.com/office/officeart/2005/8/layout/hProcess7"/>
    <dgm:cxn modelId="{FD047089-148A-48EB-AB2B-ABF57DC4957C}" type="presParOf" srcId="{8BD0A1C5-0738-4268-B9D0-64CD6E5AF3F8}" destId="{6002BBB6-87A0-4724-8898-18E0315540E3}" srcOrd="0" destOrd="0" presId="urn:microsoft.com/office/officeart/2005/8/layout/hProcess7"/>
    <dgm:cxn modelId="{D19F5819-9243-48AA-94FA-99A07E12B3AC}" type="presParOf" srcId="{8BD0A1C5-0738-4268-B9D0-64CD6E5AF3F8}" destId="{C7B010E5-D180-4D2F-B42B-73B2011EFC26}" srcOrd="1" destOrd="0" presId="urn:microsoft.com/office/officeart/2005/8/layout/hProcess7"/>
    <dgm:cxn modelId="{A33F4349-1B93-447F-AE15-27F075702B23}" type="presParOf" srcId="{8BD0A1C5-0738-4268-B9D0-64CD6E5AF3F8}" destId="{27546D85-344B-45FC-9FB1-D2BBAF836F54}" srcOrd="2" destOrd="0" presId="urn:microsoft.com/office/officeart/2005/8/layout/hProcess7"/>
    <dgm:cxn modelId="{3174A15C-5480-438F-8D5E-8C460A126C9E}" type="presParOf" srcId="{098CC0C0-516F-40C4-89BC-14791CF89F4C}" destId="{9FB21139-E658-45F7-AE64-8EF1B75E5977}" srcOrd="3" destOrd="0" presId="urn:microsoft.com/office/officeart/2005/8/layout/hProcess7"/>
    <dgm:cxn modelId="{5C40DCBC-5A41-4989-AD57-F09F9A7AB67C}" type="presParOf" srcId="{098CC0C0-516F-40C4-89BC-14791CF89F4C}" destId="{50318AC5-382F-489C-8723-5435248D76E1}" srcOrd="4" destOrd="0" presId="urn:microsoft.com/office/officeart/2005/8/layout/hProcess7"/>
    <dgm:cxn modelId="{BFADBB1D-B0DD-464F-8F7F-D7FB318C2323}" type="presParOf" srcId="{50318AC5-382F-489C-8723-5435248D76E1}" destId="{E84EE410-87B2-4D25-96B8-717156104DAC}" srcOrd="0" destOrd="0" presId="urn:microsoft.com/office/officeart/2005/8/layout/hProcess7"/>
    <dgm:cxn modelId="{CA2EB579-1164-4D07-A64F-25845FC719D4}" type="presParOf" srcId="{50318AC5-382F-489C-8723-5435248D76E1}" destId="{251EB899-0CD6-40EA-95B1-A9E7F076DFB3}" srcOrd="1" destOrd="0" presId="urn:microsoft.com/office/officeart/2005/8/layout/hProcess7"/>
    <dgm:cxn modelId="{58D74A96-0927-4156-A30E-56F0F7FD7875}" type="presParOf" srcId="{50318AC5-382F-489C-8723-5435248D76E1}" destId="{B58259EC-9B5C-46F1-B42F-2E9C5CE0CAFD}" srcOrd="2" destOrd="0" presId="urn:microsoft.com/office/officeart/2005/8/layout/hProcess7"/>
    <dgm:cxn modelId="{24638DAB-8EF9-418A-A9D5-9DED13213EBD}" type="presParOf" srcId="{098CC0C0-516F-40C4-89BC-14791CF89F4C}" destId="{A2C46625-A11A-4B2B-9C3F-668B32B227A9}" srcOrd="5" destOrd="0" presId="urn:microsoft.com/office/officeart/2005/8/layout/hProcess7"/>
    <dgm:cxn modelId="{3EB5B605-270C-4BFB-98E2-3A059E6FD060}" type="presParOf" srcId="{098CC0C0-516F-40C4-89BC-14791CF89F4C}" destId="{60F9FEB2-217B-48B2-9394-2EB467711582}" srcOrd="6" destOrd="0" presId="urn:microsoft.com/office/officeart/2005/8/layout/hProcess7"/>
    <dgm:cxn modelId="{4A4225ED-EFD4-4558-8C80-8F5793BC5D0B}" type="presParOf" srcId="{60F9FEB2-217B-48B2-9394-2EB467711582}" destId="{E528800B-CC39-4875-8A32-7EEA00AD8D71}" srcOrd="0" destOrd="0" presId="urn:microsoft.com/office/officeart/2005/8/layout/hProcess7"/>
    <dgm:cxn modelId="{32B6A567-BCE1-484A-A722-D053C686DD4B}" type="presParOf" srcId="{60F9FEB2-217B-48B2-9394-2EB467711582}" destId="{EC30CEF4-EDFF-4811-8E2E-A9854F9272D5}" srcOrd="1" destOrd="0" presId="urn:microsoft.com/office/officeart/2005/8/layout/hProcess7"/>
    <dgm:cxn modelId="{B2BD97CE-7227-4CF5-9C02-EDDAFD0D3B03}" type="presParOf" srcId="{60F9FEB2-217B-48B2-9394-2EB467711582}" destId="{0688FC82-FA86-41D5-B4C1-C31331227CF8}" srcOrd="2" destOrd="0" presId="urn:microsoft.com/office/officeart/2005/8/layout/hProcess7"/>
    <dgm:cxn modelId="{C1F6EF74-5AD3-4B48-ABBF-21B4B71B55BF}" type="presParOf" srcId="{098CC0C0-516F-40C4-89BC-14791CF89F4C}" destId="{82B4A681-DD30-4724-AFAE-A99FA00DD0B8}" srcOrd="7" destOrd="0" presId="urn:microsoft.com/office/officeart/2005/8/layout/hProcess7"/>
    <dgm:cxn modelId="{13D88437-71C1-4352-A2D8-8FBC187B268D}" type="presParOf" srcId="{098CC0C0-516F-40C4-89BC-14791CF89F4C}" destId="{BE5DA275-DD4D-4D3D-A4FE-82362EB15F0B}" srcOrd="8" destOrd="0" presId="urn:microsoft.com/office/officeart/2005/8/layout/hProcess7"/>
    <dgm:cxn modelId="{163B263F-57C8-46CE-AD97-0C5D4C144626}" type="presParOf" srcId="{BE5DA275-DD4D-4D3D-A4FE-82362EB15F0B}" destId="{A04C53BC-7932-402A-8572-8F8AAF4B132F}" srcOrd="0" destOrd="0" presId="urn:microsoft.com/office/officeart/2005/8/layout/hProcess7"/>
    <dgm:cxn modelId="{25EBEBDE-F982-4FEF-92CB-B8964C99CE91}" type="presParOf" srcId="{BE5DA275-DD4D-4D3D-A4FE-82362EB15F0B}" destId="{F6AA4E61-B654-4D04-B8DF-CA2C432E71A4}" srcOrd="1" destOrd="0" presId="urn:microsoft.com/office/officeart/2005/8/layout/hProcess7"/>
    <dgm:cxn modelId="{EA9A0346-6C51-4812-A9A2-C03B254B2E10}" type="presParOf" srcId="{BE5DA275-DD4D-4D3D-A4FE-82362EB15F0B}" destId="{04C39003-D582-4D3A-B42D-FB178A8E411A}" srcOrd="2" destOrd="0" presId="urn:microsoft.com/office/officeart/2005/8/layout/hProcess7"/>
    <dgm:cxn modelId="{1E99D4E2-B03C-45B8-B14C-16067D75DEE2}" type="presParOf" srcId="{098CC0C0-516F-40C4-89BC-14791CF89F4C}" destId="{3A7CC9AA-5B80-4772-8A4D-064178FC0D37}" srcOrd="9" destOrd="0" presId="urn:microsoft.com/office/officeart/2005/8/layout/hProcess7"/>
    <dgm:cxn modelId="{79398B31-A17D-487D-8BB3-86BCDCEB7A9D}" type="presParOf" srcId="{098CC0C0-516F-40C4-89BC-14791CF89F4C}" destId="{7ABA25D6-9873-49FF-BA3B-7C9137566A5E}" srcOrd="10" destOrd="0" presId="urn:microsoft.com/office/officeart/2005/8/layout/hProcess7"/>
    <dgm:cxn modelId="{C9AA5A39-6BC3-4ACF-934F-589BF9CA8765}" type="presParOf" srcId="{7ABA25D6-9873-49FF-BA3B-7C9137566A5E}" destId="{C6A2B781-E430-45F6-92B5-2B302686F5BF}" srcOrd="0" destOrd="0" presId="urn:microsoft.com/office/officeart/2005/8/layout/hProcess7"/>
    <dgm:cxn modelId="{37739EE3-3C3C-4AD2-924A-9414560E8692}" type="presParOf" srcId="{7ABA25D6-9873-49FF-BA3B-7C9137566A5E}" destId="{34CE9F0A-427E-4A64-BAEF-3AB5EF6C2FC9}" srcOrd="1" destOrd="0" presId="urn:microsoft.com/office/officeart/2005/8/layout/hProcess7"/>
    <dgm:cxn modelId="{C80B919D-D61D-424D-8774-530E9713BD14}" type="presParOf" srcId="{7ABA25D6-9873-49FF-BA3B-7C9137566A5E}" destId="{58072CA7-E537-4D5F-A25D-F8D46D6AD5AE}" srcOrd="2" destOrd="0" presId="urn:microsoft.com/office/officeart/2005/8/layout/hProcess7"/>
    <dgm:cxn modelId="{B3CE1D0D-00CD-4A78-A0A9-E0163AD9430C}" type="presParOf" srcId="{098CC0C0-516F-40C4-89BC-14791CF89F4C}" destId="{1E15942F-B2C5-4D32-BF93-0FBE1D3A6757}" srcOrd="11" destOrd="0" presId="urn:microsoft.com/office/officeart/2005/8/layout/hProcess7"/>
    <dgm:cxn modelId="{266C7557-9C16-4E37-808C-65402A9D3131}" type="presParOf" srcId="{098CC0C0-516F-40C4-89BC-14791CF89F4C}" destId="{0C42C987-1D46-4D2E-8B1F-ABD98CB58FFF}" srcOrd="12" destOrd="0" presId="urn:microsoft.com/office/officeart/2005/8/layout/hProcess7"/>
    <dgm:cxn modelId="{C281D551-DA71-48AB-BC85-2E9977393417}" type="presParOf" srcId="{0C42C987-1D46-4D2E-8B1F-ABD98CB58FFF}" destId="{7F1B5CDB-2C1B-4F10-8CB9-65B9DED6D65E}" srcOrd="0" destOrd="0" presId="urn:microsoft.com/office/officeart/2005/8/layout/hProcess7"/>
    <dgm:cxn modelId="{24D00C82-61DA-4A5D-983A-576EA2B43C0E}" type="presParOf" srcId="{0C42C987-1D46-4D2E-8B1F-ABD98CB58FFF}" destId="{5C603202-E7FD-4498-AFEA-E74FB696FE42}" srcOrd="1" destOrd="0" presId="urn:microsoft.com/office/officeart/2005/8/layout/hProcess7"/>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20B4FD-D96F-42EF-AC8B-614503ADC342}">
      <dsp:nvSpPr>
        <dsp:cNvPr id="0" name=""/>
        <dsp:cNvSpPr/>
      </dsp:nvSpPr>
      <dsp:spPr>
        <a:xfrm>
          <a:off x="77058" y="33635"/>
          <a:ext cx="1483816" cy="1780579"/>
        </a:xfrm>
        <a:prstGeom prst="roundRect">
          <a:avLst>
            <a:gd name="adj" fmla="val 5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en-US" sz="1200" b="1" kern="1200"/>
            <a:t>CLAIM</a:t>
          </a:r>
        </a:p>
      </dsp:txBody>
      <dsp:txXfrm rot="16200000">
        <a:off x="-504597" y="615291"/>
        <a:ext cx="1460075" cy="296763"/>
      </dsp:txXfrm>
    </dsp:sp>
    <dsp:sp modelId="{CF368B36-63F3-4C9A-AAAA-ED965116618F}">
      <dsp:nvSpPr>
        <dsp:cNvPr id="0" name=""/>
        <dsp:cNvSpPr/>
      </dsp:nvSpPr>
      <dsp:spPr>
        <a:xfrm>
          <a:off x="373821" y="33635"/>
          <a:ext cx="1105443" cy="178057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lvl="0" algn="l" defTabSz="488950">
            <a:lnSpc>
              <a:spcPct val="90000"/>
            </a:lnSpc>
            <a:spcBef>
              <a:spcPct val="0"/>
            </a:spcBef>
            <a:spcAft>
              <a:spcPct val="35000"/>
            </a:spcAft>
          </a:pPr>
          <a:r>
            <a:rPr lang="en-US" sz="1100" kern="1200"/>
            <a:t>What position are you taking?</a:t>
          </a:r>
        </a:p>
      </dsp:txBody>
      <dsp:txXfrm>
        <a:off x="373821" y="33635"/>
        <a:ext cx="1105443" cy="1780579"/>
      </dsp:txXfrm>
    </dsp:sp>
    <dsp:sp modelId="{E84EE410-87B2-4D25-96B8-717156104DAC}">
      <dsp:nvSpPr>
        <dsp:cNvPr id="0" name=""/>
        <dsp:cNvSpPr/>
      </dsp:nvSpPr>
      <dsp:spPr>
        <a:xfrm>
          <a:off x="1538216" y="33635"/>
          <a:ext cx="1483816" cy="1780579"/>
        </a:xfrm>
        <a:prstGeom prst="roundRect">
          <a:avLst>
            <a:gd name="adj" fmla="val 5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en-US" sz="1200" b="1" kern="1200"/>
            <a:t>Counter -EVIDENCE</a:t>
          </a:r>
        </a:p>
      </dsp:txBody>
      <dsp:txXfrm rot="16200000">
        <a:off x="956560" y="615291"/>
        <a:ext cx="1460075" cy="296763"/>
      </dsp:txXfrm>
    </dsp:sp>
    <dsp:sp modelId="{C7B010E5-D180-4D2F-B42B-73B2011EFC26}">
      <dsp:nvSpPr>
        <dsp:cNvPr id="0" name=""/>
        <dsp:cNvSpPr/>
      </dsp:nvSpPr>
      <dsp:spPr>
        <a:xfrm rot="5400000">
          <a:off x="1414808" y="1448662"/>
          <a:ext cx="261653" cy="222572"/>
        </a:xfrm>
        <a:prstGeom prst="flowChartExtract">
          <a:avLst/>
        </a:prstGeom>
        <a:solidFill>
          <a:schemeClr val="lt1">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58259EC-9B5C-46F1-B42F-2E9C5CE0CAFD}">
      <dsp:nvSpPr>
        <dsp:cNvPr id="0" name=""/>
        <dsp:cNvSpPr/>
      </dsp:nvSpPr>
      <dsp:spPr>
        <a:xfrm>
          <a:off x="1834980" y="33635"/>
          <a:ext cx="1105443" cy="178057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lvl="0" algn="l" defTabSz="488950">
            <a:lnSpc>
              <a:spcPct val="90000"/>
            </a:lnSpc>
            <a:spcBef>
              <a:spcPct val="0"/>
            </a:spcBef>
            <a:spcAft>
              <a:spcPct val="35000"/>
            </a:spcAft>
          </a:pPr>
          <a:r>
            <a:rPr lang="en-US" sz="1100" kern="1200">
              <a:solidFill>
                <a:schemeClr val="tx1"/>
              </a:solidFill>
            </a:rPr>
            <a:t>What reasons, causes, or purposes  are </a:t>
          </a:r>
          <a:r>
            <a:rPr lang="en-US" sz="1100" i="1" kern="1200">
              <a:solidFill>
                <a:schemeClr val="tx1"/>
              </a:solidFill>
            </a:rPr>
            <a:t>identified in your sources</a:t>
          </a:r>
          <a:r>
            <a:rPr lang="en-US" sz="1100" kern="1200">
              <a:solidFill>
                <a:schemeClr val="tx1"/>
              </a:solidFill>
            </a:rPr>
            <a:t> that refute your claim? Address each one with evidence. </a:t>
          </a:r>
          <a:endParaRPr lang="en-US" sz="1100" kern="1200"/>
        </a:p>
        <a:p>
          <a:pPr lvl="0" algn="l" defTabSz="488950">
            <a:lnSpc>
              <a:spcPct val="90000"/>
            </a:lnSpc>
            <a:spcBef>
              <a:spcPct val="0"/>
            </a:spcBef>
            <a:spcAft>
              <a:spcPct val="35000"/>
            </a:spcAft>
          </a:pPr>
          <a:endParaRPr lang="en-US" sz="1100" kern="1200"/>
        </a:p>
      </dsp:txBody>
      <dsp:txXfrm>
        <a:off x="1834980" y="33635"/>
        <a:ext cx="1105443" cy="1780579"/>
      </dsp:txXfrm>
    </dsp:sp>
    <dsp:sp modelId="{A04C53BC-7932-402A-8572-8F8AAF4B132F}">
      <dsp:nvSpPr>
        <dsp:cNvPr id="0" name=""/>
        <dsp:cNvSpPr/>
      </dsp:nvSpPr>
      <dsp:spPr>
        <a:xfrm>
          <a:off x="3073966" y="33635"/>
          <a:ext cx="1483816" cy="1780579"/>
        </a:xfrm>
        <a:prstGeom prst="roundRect">
          <a:avLst>
            <a:gd name="adj" fmla="val 5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en-US" sz="1200" b="1" kern="1200"/>
            <a:t>EVIDENCE</a:t>
          </a:r>
        </a:p>
      </dsp:txBody>
      <dsp:txXfrm rot="16200000">
        <a:off x="2492310" y="615291"/>
        <a:ext cx="1460075" cy="296763"/>
      </dsp:txXfrm>
    </dsp:sp>
    <dsp:sp modelId="{EC30CEF4-EDFF-4811-8E2E-A9854F9272D5}">
      <dsp:nvSpPr>
        <dsp:cNvPr id="0" name=""/>
        <dsp:cNvSpPr/>
      </dsp:nvSpPr>
      <dsp:spPr>
        <a:xfrm rot="5400000">
          <a:off x="2950558" y="1448662"/>
          <a:ext cx="261653" cy="222572"/>
        </a:xfrm>
        <a:prstGeom prst="flowChartExtract">
          <a:avLst/>
        </a:prstGeom>
        <a:solidFill>
          <a:schemeClr val="lt1">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4C39003-D582-4D3A-B42D-FB178A8E411A}">
      <dsp:nvSpPr>
        <dsp:cNvPr id="0" name=""/>
        <dsp:cNvSpPr/>
      </dsp:nvSpPr>
      <dsp:spPr>
        <a:xfrm>
          <a:off x="3370730" y="33635"/>
          <a:ext cx="1105443" cy="178057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lvl="0" algn="l" defTabSz="488950">
            <a:lnSpc>
              <a:spcPct val="90000"/>
            </a:lnSpc>
            <a:spcBef>
              <a:spcPct val="0"/>
            </a:spcBef>
            <a:spcAft>
              <a:spcPct val="35000"/>
            </a:spcAft>
          </a:pPr>
          <a:r>
            <a:rPr lang="en-US" sz="1100" kern="1200">
              <a:solidFill>
                <a:schemeClr val="tx1"/>
              </a:solidFill>
            </a:rPr>
            <a:t>What reasons, causes, or purposes are </a:t>
          </a:r>
          <a:r>
            <a:rPr lang="en-US" sz="1100" i="1" kern="1200">
              <a:solidFill>
                <a:schemeClr val="tx1"/>
              </a:solidFill>
            </a:rPr>
            <a:t>identified in your sources </a:t>
          </a:r>
          <a:r>
            <a:rPr lang="en-US" sz="1100" kern="1200">
              <a:solidFill>
                <a:schemeClr val="tx1"/>
              </a:solidFill>
            </a:rPr>
            <a:t>to support your claim? </a:t>
          </a:r>
        </a:p>
        <a:p>
          <a:pPr lvl="0" algn="l" defTabSz="488950">
            <a:lnSpc>
              <a:spcPct val="90000"/>
            </a:lnSpc>
            <a:spcBef>
              <a:spcPct val="0"/>
            </a:spcBef>
            <a:spcAft>
              <a:spcPct val="35000"/>
            </a:spcAft>
          </a:pPr>
          <a:endParaRPr lang="en-US" sz="1100" kern="1200"/>
        </a:p>
      </dsp:txBody>
      <dsp:txXfrm>
        <a:off x="3370730" y="33635"/>
        <a:ext cx="1105443" cy="1780579"/>
      </dsp:txXfrm>
    </dsp:sp>
    <dsp:sp modelId="{7F1B5CDB-2C1B-4F10-8CB9-65B9DED6D65E}">
      <dsp:nvSpPr>
        <dsp:cNvPr id="0" name=""/>
        <dsp:cNvSpPr/>
      </dsp:nvSpPr>
      <dsp:spPr>
        <a:xfrm>
          <a:off x="4609716" y="33635"/>
          <a:ext cx="1483816" cy="1780579"/>
        </a:xfrm>
        <a:prstGeom prst="roundRect">
          <a:avLst>
            <a:gd name="adj" fmla="val 5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en-US" sz="1200" b="1" kern="1200"/>
            <a:t>RESTATE YOUR CLAIM</a:t>
          </a:r>
        </a:p>
      </dsp:txBody>
      <dsp:txXfrm rot="16200000">
        <a:off x="4028060" y="615291"/>
        <a:ext cx="1460075" cy="296763"/>
      </dsp:txXfrm>
    </dsp:sp>
    <dsp:sp modelId="{34CE9F0A-427E-4A64-BAEF-3AB5EF6C2FC9}">
      <dsp:nvSpPr>
        <dsp:cNvPr id="0" name=""/>
        <dsp:cNvSpPr/>
      </dsp:nvSpPr>
      <dsp:spPr>
        <a:xfrm rot="5400000">
          <a:off x="4486308" y="1448662"/>
          <a:ext cx="261653" cy="222572"/>
        </a:xfrm>
        <a:prstGeom prst="flowChartExtract">
          <a:avLst/>
        </a:prstGeom>
        <a:solidFill>
          <a:schemeClr val="lt1">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1D80F-35F5-4E01-89D9-F0E393FFF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Werner-Burke, Nanci</dc:creator>
  <cp:keywords/>
  <dc:description/>
  <cp:lastModifiedBy>Werner-Burke, Nanci</cp:lastModifiedBy>
  <cp:revision>2</cp:revision>
  <cp:lastPrinted>2017-10-23T18:34:00Z</cp:lastPrinted>
  <dcterms:created xsi:type="dcterms:W3CDTF">2018-01-10T15:18:00Z</dcterms:created>
  <dcterms:modified xsi:type="dcterms:W3CDTF">2018-01-10T15:18:00Z</dcterms:modified>
</cp:coreProperties>
</file>