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C1" w:rsidRDefault="00106A6A" w:rsidP="00CD2AA2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purchases procured with federal funds</w:t>
      </w:r>
      <w:r w:rsidR="00CD2AA2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106A6A" w:rsidRDefault="00CD2AA2" w:rsidP="00CD2AA2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by non-federal entities </w:t>
      </w:r>
    </w:p>
    <w:p w:rsidR="00024C50" w:rsidRDefault="00024C50" w:rsidP="00CD2AA2">
      <w:pPr>
        <w:ind w:left="108"/>
        <w:rPr>
          <w:rFonts w:ascii="Arial" w:hAnsi="Arial" w:cs="Arial"/>
          <w:sz w:val="21"/>
          <w:szCs w:val="21"/>
        </w:rPr>
      </w:pPr>
    </w:p>
    <w:p w:rsidR="006F6471" w:rsidRDefault="006F6471" w:rsidP="00CD2AA2">
      <w:pPr>
        <w:ind w:left="1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accordance with, Office of Management and Budget memo </w:t>
      </w:r>
      <w:hyperlink r:id="rId8" w:history="1">
        <w:r w:rsidRPr="006F6471">
          <w:rPr>
            <w:rStyle w:val="Hyperlink"/>
            <w:rFonts w:ascii="Arial" w:hAnsi="Arial" w:cs="Arial"/>
            <w:sz w:val="21"/>
            <w:szCs w:val="21"/>
          </w:rPr>
          <w:t>M-18-18</w:t>
        </w:r>
      </w:hyperlink>
      <w:r>
        <w:rPr>
          <w:rFonts w:ascii="Arial" w:hAnsi="Arial" w:cs="Arial"/>
          <w:sz w:val="21"/>
          <w:szCs w:val="21"/>
        </w:rPr>
        <w:t xml:space="preserve">  dated June 20, 2018 and statutory changes set forth in the National Defense Authorization Acts (NDAA), the thresholds for simplified acquisitions and micro-purchases </w:t>
      </w:r>
      <w:r w:rsidR="00135755"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z w:val="21"/>
          <w:szCs w:val="21"/>
        </w:rPr>
        <w:t xml:space="preserve"> modified as per the table below.</w:t>
      </w:r>
    </w:p>
    <w:p w:rsidR="006F6471" w:rsidRDefault="006F6471" w:rsidP="00CD2AA2">
      <w:pPr>
        <w:ind w:left="108"/>
        <w:rPr>
          <w:rFonts w:ascii="Arial" w:hAnsi="Arial" w:cs="Arial"/>
          <w:sz w:val="21"/>
          <w:szCs w:val="21"/>
        </w:rPr>
      </w:pPr>
    </w:p>
    <w:p w:rsidR="00024C50" w:rsidRDefault="00CD2AA2" w:rsidP="00CD2AA2">
      <w:pPr>
        <w:ind w:left="108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>There are five m</w:t>
      </w:r>
      <w:r w:rsidR="00FD5356" w:rsidRPr="00455496">
        <w:rPr>
          <w:rFonts w:ascii="Arial" w:hAnsi="Arial" w:cs="Arial"/>
          <w:sz w:val="21"/>
          <w:szCs w:val="21"/>
        </w:rPr>
        <w:t xml:space="preserve">ethods of procurement to be followed </w:t>
      </w:r>
      <w:r w:rsidR="000A6CF8">
        <w:rPr>
          <w:rFonts w:ascii="Arial" w:hAnsi="Arial" w:cs="Arial"/>
          <w:sz w:val="21"/>
          <w:szCs w:val="21"/>
        </w:rPr>
        <w:t xml:space="preserve">by non-Federal entities </w:t>
      </w:r>
      <w:r w:rsidR="00FD5356" w:rsidRPr="00455496">
        <w:rPr>
          <w:rFonts w:ascii="Arial" w:hAnsi="Arial" w:cs="Arial"/>
          <w:sz w:val="21"/>
          <w:szCs w:val="21"/>
        </w:rPr>
        <w:t xml:space="preserve">for </w:t>
      </w:r>
      <w:r w:rsidR="00FD5356" w:rsidRPr="00F17C5B">
        <w:rPr>
          <w:rFonts w:ascii="Arial" w:hAnsi="Arial" w:cs="Arial"/>
          <w:sz w:val="21"/>
          <w:szCs w:val="21"/>
        </w:rPr>
        <w:t>micro</w:t>
      </w:r>
      <w:r w:rsidR="00024C50" w:rsidRPr="00F17C5B">
        <w:rPr>
          <w:rFonts w:ascii="Arial" w:hAnsi="Arial" w:cs="Arial"/>
          <w:sz w:val="21"/>
          <w:szCs w:val="21"/>
        </w:rPr>
        <w:t>-</w:t>
      </w:r>
      <w:r w:rsidR="00FD5356" w:rsidRPr="00F17C5B">
        <w:rPr>
          <w:rFonts w:ascii="Arial" w:hAnsi="Arial" w:cs="Arial"/>
          <w:sz w:val="21"/>
          <w:szCs w:val="21"/>
        </w:rPr>
        <w:t>, small</w:t>
      </w:r>
      <w:r w:rsidR="00024C50" w:rsidRPr="00F17C5B">
        <w:rPr>
          <w:rFonts w:ascii="Arial" w:hAnsi="Arial" w:cs="Arial"/>
          <w:sz w:val="21"/>
          <w:szCs w:val="21"/>
        </w:rPr>
        <w:t>-, and over-</w:t>
      </w:r>
      <w:r w:rsidR="00FD5356" w:rsidRPr="00F17C5B">
        <w:rPr>
          <w:rFonts w:ascii="Arial" w:hAnsi="Arial" w:cs="Arial"/>
          <w:sz w:val="21"/>
          <w:szCs w:val="21"/>
        </w:rPr>
        <w:t>threshold</w:t>
      </w:r>
      <w:r w:rsidR="00FD5356" w:rsidRPr="00455496">
        <w:rPr>
          <w:rFonts w:ascii="Arial" w:hAnsi="Arial" w:cs="Arial"/>
          <w:sz w:val="21"/>
          <w:szCs w:val="21"/>
        </w:rPr>
        <w:t xml:space="preserve"> purchases</w:t>
      </w:r>
      <w:r w:rsidR="00FD53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as </w:t>
      </w:r>
      <w:r w:rsidR="00FD5356">
        <w:rPr>
          <w:rFonts w:ascii="Arial" w:hAnsi="Arial" w:cs="Arial"/>
          <w:sz w:val="21"/>
          <w:szCs w:val="21"/>
        </w:rPr>
        <w:t xml:space="preserve">listed in </w:t>
      </w:r>
      <w:hyperlink r:id="rId9" w:history="1">
        <w:r w:rsidR="00FD5356" w:rsidRPr="00455496">
          <w:rPr>
            <w:rStyle w:val="Hyperlink"/>
            <w:rFonts w:ascii="Arial" w:hAnsi="Arial" w:cs="Arial"/>
            <w:sz w:val="21"/>
            <w:szCs w:val="21"/>
          </w:rPr>
          <w:t>§200.320</w:t>
        </w:r>
      </w:hyperlink>
      <w:r w:rsidR="00FD5356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of the </w:t>
      </w:r>
      <w:hyperlink r:id="rId10" w:history="1">
        <w:r w:rsidRPr="00455496">
          <w:rPr>
            <w:rStyle w:val="Hyperlink"/>
            <w:rFonts w:ascii="Arial" w:hAnsi="Arial" w:cs="Arial"/>
            <w:sz w:val="21"/>
            <w:szCs w:val="21"/>
          </w:rPr>
          <w:t>Code of Federal Regulations (CRF)</w:t>
        </w:r>
      </w:hyperlink>
      <w:r w:rsidRPr="00CD2AA2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.</w:t>
      </w:r>
    </w:p>
    <w:p w:rsidR="00FD5356" w:rsidRDefault="00FD5356" w:rsidP="00CD2AA2">
      <w:pPr>
        <w:ind w:left="108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</w:p>
    <w:tbl>
      <w:tblPr>
        <w:tblW w:w="7915" w:type="dxa"/>
        <w:jc w:val="center"/>
        <w:tblLook w:val="04A0" w:firstRow="1" w:lastRow="0" w:firstColumn="1" w:lastColumn="0" w:noHBand="0" w:noVBand="1"/>
      </w:tblPr>
      <w:tblGrid>
        <w:gridCol w:w="805"/>
        <w:gridCol w:w="3420"/>
        <w:gridCol w:w="3690"/>
      </w:tblGrid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#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45549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Method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Aggregate Dollar Amount</w:t>
            </w:r>
          </w:p>
        </w:tc>
      </w:tr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Micro-purchases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6F647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</w:t>
            </w:r>
            <w:r w:rsidR="006F64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,000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or less</w:t>
            </w:r>
          </w:p>
        </w:tc>
      </w:tr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F17C5B" w:rsidRDefault="00FD5356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7C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Small purchases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6F647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55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$</w:t>
            </w:r>
            <w:r w:rsidR="006F64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  <w:r w:rsidRPr="00455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4554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l</w:t>
            </w: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ess than $</w:t>
            </w:r>
            <w:r w:rsidR="006F64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50,000</w:t>
            </w:r>
          </w:p>
        </w:tc>
      </w:tr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F17C5B" w:rsidRDefault="00024C50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7C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Sealed-</w:t>
            </w:r>
            <w:r w:rsidR="00FD5356" w:rsidRPr="00F17C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bid purchases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6F647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More than $</w:t>
            </w:r>
            <w:r w:rsidR="006F64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50,000</w:t>
            </w:r>
          </w:p>
        </w:tc>
      </w:tr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F17C5B" w:rsidRDefault="00024C50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17C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Competitive-</w:t>
            </w:r>
            <w:r w:rsidR="00FD5356" w:rsidRPr="00F17C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proposal purchases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6F647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More than $</w:t>
            </w:r>
            <w:r w:rsidR="006F64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50,000</w:t>
            </w:r>
          </w:p>
        </w:tc>
      </w:tr>
      <w:tr w:rsidR="00FD5356" w:rsidRPr="002559A4" w:rsidTr="0072509B">
        <w:trPr>
          <w:trHeight w:val="4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59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Noncompetitive purchases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6" w:rsidRPr="002559A4" w:rsidRDefault="00FD5356" w:rsidP="008965E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Sole Source</w:t>
            </w:r>
            <w:r w:rsidR="009E30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Certification</w:t>
            </w:r>
          </w:p>
        </w:tc>
      </w:tr>
    </w:tbl>
    <w:p w:rsidR="00FD5356" w:rsidRDefault="00FD5356" w:rsidP="00F06AA5">
      <w:pPr>
        <w:ind w:left="828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</w:p>
    <w:p w:rsidR="0072509B" w:rsidRPr="00455496" w:rsidRDefault="0072509B" w:rsidP="00C97976">
      <w:pPr>
        <w:rPr>
          <w:rFonts w:ascii="Arial" w:hAnsi="Arial" w:cs="Arial"/>
          <w:sz w:val="21"/>
          <w:szCs w:val="21"/>
        </w:rPr>
      </w:pPr>
      <w:r w:rsidRPr="00455496">
        <w:rPr>
          <w:rFonts w:ascii="Arial" w:hAnsi="Arial" w:cs="Arial"/>
          <w:sz w:val="21"/>
          <w:szCs w:val="21"/>
        </w:rPr>
        <w:t xml:space="preserve">All methods </w:t>
      </w:r>
      <w:r>
        <w:rPr>
          <w:rFonts w:ascii="Arial" w:hAnsi="Arial" w:cs="Arial"/>
          <w:sz w:val="21"/>
          <w:szCs w:val="21"/>
        </w:rPr>
        <w:t xml:space="preserve">of </w:t>
      </w:r>
      <w:r w:rsidRPr="00455496">
        <w:rPr>
          <w:rFonts w:ascii="Arial" w:hAnsi="Arial" w:cs="Arial"/>
          <w:sz w:val="21"/>
          <w:szCs w:val="21"/>
        </w:rPr>
        <w:t>procurement must comply with</w:t>
      </w:r>
      <w:r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Pr="00455496">
          <w:rPr>
            <w:rStyle w:val="Hyperlink"/>
            <w:rFonts w:ascii="Arial" w:hAnsi="Arial" w:cs="Arial"/>
            <w:sz w:val="21"/>
            <w:szCs w:val="21"/>
          </w:rPr>
          <w:t>§200.318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Pr="00455496">
        <w:rPr>
          <w:rFonts w:ascii="Arial" w:hAnsi="Arial" w:cs="Arial"/>
          <w:sz w:val="21"/>
          <w:szCs w:val="21"/>
        </w:rPr>
        <w:t xml:space="preserve">General </w:t>
      </w:r>
      <w:r>
        <w:rPr>
          <w:rFonts w:ascii="Arial" w:hAnsi="Arial" w:cs="Arial"/>
          <w:sz w:val="21"/>
          <w:szCs w:val="21"/>
        </w:rPr>
        <w:t>Procurement Standards</w:t>
      </w:r>
      <w:r w:rsidR="00CD2AA2">
        <w:rPr>
          <w:rFonts w:ascii="Arial" w:hAnsi="Arial" w:cs="Arial"/>
          <w:sz w:val="21"/>
          <w:szCs w:val="21"/>
        </w:rPr>
        <w:t xml:space="preserve"> of the CRF. </w:t>
      </w:r>
      <w:r w:rsidR="000A6CF8">
        <w:rPr>
          <w:rFonts w:ascii="Arial" w:hAnsi="Arial" w:cs="Arial"/>
          <w:sz w:val="21"/>
          <w:szCs w:val="21"/>
        </w:rPr>
        <w:t xml:space="preserve">Furthermore, </w:t>
      </w:r>
      <w:r w:rsidR="00C97976">
        <w:rPr>
          <w:rFonts w:ascii="Arial" w:hAnsi="Arial" w:cs="Arial"/>
          <w:sz w:val="21"/>
          <w:szCs w:val="21"/>
        </w:rPr>
        <w:t xml:space="preserve">all </w:t>
      </w:r>
      <w:r w:rsidR="00CD2AA2">
        <w:rPr>
          <w:rFonts w:ascii="Arial" w:hAnsi="Arial" w:cs="Arial"/>
          <w:sz w:val="21"/>
          <w:szCs w:val="21"/>
        </w:rPr>
        <w:t xml:space="preserve">purchases must comply with the State System’s </w:t>
      </w:r>
      <w:r w:rsidRPr="00455496">
        <w:rPr>
          <w:rFonts w:ascii="Arial" w:hAnsi="Arial" w:cs="Arial"/>
          <w:sz w:val="21"/>
          <w:szCs w:val="21"/>
        </w:rPr>
        <w:t xml:space="preserve">documented procedures </w:t>
      </w:r>
      <w:r w:rsidR="00CD2AA2">
        <w:rPr>
          <w:rFonts w:ascii="Arial" w:hAnsi="Arial" w:cs="Arial"/>
          <w:sz w:val="21"/>
          <w:szCs w:val="21"/>
        </w:rPr>
        <w:t xml:space="preserve">as per the </w:t>
      </w:r>
      <w:hyperlink r:id="rId12" w:history="1">
        <w:r w:rsidR="00CD2AA2" w:rsidRPr="00CD2AA2">
          <w:rPr>
            <w:rStyle w:val="Hyperlink"/>
            <w:rFonts w:ascii="Arial" w:hAnsi="Arial" w:cs="Arial"/>
            <w:sz w:val="21"/>
            <w:szCs w:val="21"/>
          </w:rPr>
          <w:t>Commonwealth Procurement Code</w:t>
        </w:r>
      </w:hyperlink>
      <w:r w:rsidR="000A6CF8">
        <w:rPr>
          <w:rFonts w:ascii="Arial" w:hAnsi="Arial" w:cs="Arial"/>
          <w:sz w:val="21"/>
          <w:szCs w:val="21"/>
        </w:rPr>
        <w:t xml:space="preserve"> </w:t>
      </w:r>
      <w:r w:rsidR="003A425E">
        <w:rPr>
          <w:rFonts w:ascii="Arial" w:hAnsi="Arial" w:cs="Arial"/>
          <w:sz w:val="21"/>
          <w:szCs w:val="21"/>
        </w:rPr>
        <w:t>including c</w:t>
      </w:r>
      <w:r w:rsidR="000A6CF8">
        <w:rPr>
          <w:rFonts w:ascii="Arial" w:hAnsi="Arial" w:cs="Arial"/>
          <w:sz w:val="21"/>
          <w:szCs w:val="21"/>
        </w:rPr>
        <w:t>onflict</w:t>
      </w:r>
      <w:r w:rsidR="003A425E">
        <w:rPr>
          <w:rFonts w:ascii="Arial" w:hAnsi="Arial" w:cs="Arial"/>
          <w:sz w:val="21"/>
          <w:szCs w:val="21"/>
        </w:rPr>
        <w:t>s</w:t>
      </w:r>
      <w:r w:rsidR="000A6CF8">
        <w:rPr>
          <w:rFonts w:ascii="Arial" w:hAnsi="Arial" w:cs="Arial"/>
          <w:sz w:val="21"/>
          <w:szCs w:val="21"/>
        </w:rPr>
        <w:t xml:space="preserve"> of </w:t>
      </w:r>
      <w:r w:rsidR="003A425E">
        <w:rPr>
          <w:rFonts w:ascii="Arial" w:hAnsi="Arial" w:cs="Arial"/>
          <w:sz w:val="21"/>
          <w:szCs w:val="21"/>
        </w:rPr>
        <w:t>i</w:t>
      </w:r>
      <w:r w:rsidR="000A6CF8">
        <w:rPr>
          <w:rFonts w:ascii="Arial" w:hAnsi="Arial" w:cs="Arial"/>
          <w:sz w:val="21"/>
          <w:szCs w:val="21"/>
        </w:rPr>
        <w:t xml:space="preserve">nterest </w:t>
      </w:r>
      <w:r w:rsidR="003A425E">
        <w:rPr>
          <w:rFonts w:ascii="Arial" w:hAnsi="Arial" w:cs="Arial"/>
          <w:sz w:val="21"/>
          <w:szCs w:val="21"/>
        </w:rPr>
        <w:t>standards</w:t>
      </w:r>
      <w:r w:rsidR="000A6CF8">
        <w:rPr>
          <w:rFonts w:ascii="Arial" w:hAnsi="Arial" w:cs="Arial"/>
          <w:sz w:val="21"/>
          <w:szCs w:val="21"/>
        </w:rPr>
        <w:t>.</w:t>
      </w:r>
      <w:r w:rsidR="00C97976">
        <w:rPr>
          <w:rFonts w:ascii="Arial" w:hAnsi="Arial" w:cs="Arial"/>
          <w:sz w:val="21"/>
          <w:szCs w:val="21"/>
        </w:rPr>
        <w:t xml:space="preserve"> Purchases must be necessary and must be made by means of </w:t>
      </w:r>
      <w:r w:rsidRPr="00455496">
        <w:rPr>
          <w:rFonts w:ascii="Arial" w:hAnsi="Arial" w:cs="Arial"/>
          <w:sz w:val="21"/>
          <w:szCs w:val="21"/>
        </w:rPr>
        <w:t>open competition (to the extent required by each method</w:t>
      </w:r>
      <w:r w:rsidR="000A6CF8">
        <w:rPr>
          <w:rFonts w:ascii="Arial" w:hAnsi="Arial" w:cs="Arial"/>
          <w:sz w:val="21"/>
          <w:szCs w:val="21"/>
        </w:rPr>
        <w:t xml:space="preserve"> listed herein</w:t>
      </w:r>
      <w:r w:rsidRPr="00455496">
        <w:rPr>
          <w:rFonts w:ascii="Arial" w:hAnsi="Arial" w:cs="Arial"/>
          <w:sz w:val="21"/>
          <w:szCs w:val="21"/>
        </w:rPr>
        <w:t>)</w:t>
      </w:r>
      <w:r w:rsidR="00C97976">
        <w:rPr>
          <w:rFonts w:ascii="Arial" w:hAnsi="Arial" w:cs="Arial"/>
          <w:sz w:val="21"/>
          <w:szCs w:val="21"/>
        </w:rPr>
        <w:t xml:space="preserve">. All purchases must </w:t>
      </w:r>
      <w:r w:rsidRPr="00455496">
        <w:rPr>
          <w:rFonts w:ascii="Arial" w:hAnsi="Arial" w:cs="Arial"/>
          <w:sz w:val="21"/>
          <w:szCs w:val="21"/>
        </w:rPr>
        <w:t xml:space="preserve">include proper documentation </w:t>
      </w:r>
      <w:r w:rsidR="00C97976">
        <w:rPr>
          <w:rFonts w:ascii="Arial" w:hAnsi="Arial" w:cs="Arial"/>
          <w:sz w:val="21"/>
          <w:szCs w:val="21"/>
        </w:rPr>
        <w:t>pertaining to</w:t>
      </w:r>
      <w:r w:rsidR="000A6CF8">
        <w:rPr>
          <w:rFonts w:ascii="Arial" w:hAnsi="Arial" w:cs="Arial"/>
          <w:sz w:val="21"/>
          <w:szCs w:val="21"/>
        </w:rPr>
        <w:t xml:space="preserve"> one of </w:t>
      </w:r>
      <w:r w:rsidR="00C97976">
        <w:rPr>
          <w:rFonts w:ascii="Arial" w:hAnsi="Arial" w:cs="Arial"/>
          <w:sz w:val="21"/>
          <w:szCs w:val="21"/>
        </w:rPr>
        <w:t xml:space="preserve">the </w:t>
      </w:r>
      <w:r w:rsidR="000A6CF8">
        <w:rPr>
          <w:rFonts w:ascii="Arial" w:hAnsi="Arial" w:cs="Arial"/>
          <w:sz w:val="21"/>
          <w:szCs w:val="21"/>
        </w:rPr>
        <w:t xml:space="preserve">following </w:t>
      </w:r>
      <w:r w:rsidR="00C97976">
        <w:rPr>
          <w:rFonts w:ascii="Arial" w:hAnsi="Arial" w:cs="Arial"/>
          <w:sz w:val="21"/>
          <w:szCs w:val="21"/>
        </w:rPr>
        <w:t>applicable procurement method</w:t>
      </w:r>
      <w:r w:rsidR="000A6CF8">
        <w:rPr>
          <w:rFonts w:ascii="Arial" w:hAnsi="Arial" w:cs="Arial"/>
          <w:sz w:val="21"/>
          <w:szCs w:val="21"/>
        </w:rPr>
        <w:t>s</w:t>
      </w:r>
      <w:r w:rsidR="00C97976">
        <w:rPr>
          <w:rFonts w:ascii="Arial" w:hAnsi="Arial" w:cs="Arial"/>
          <w:sz w:val="21"/>
          <w:szCs w:val="21"/>
        </w:rPr>
        <w:t>.</w:t>
      </w:r>
    </w:p>
    <w:p w:rsidR="0072509B" w:rsidRDefault="0072509B" w:rsidP="0072509B">
      <w:pPr>
        <w:pStyle w:val="ListParagraph"/>
        <w:rPr>
          <w:rFonts w:ascii="Arial" w:hAnsi="Arial" w:cs="Arial"/>
          <w:sz w:val="21"/>
          <w:szCs w:val="21"/>
        </w:rPr>
      </w:pPr>
    </w:p>
    <w:p w:rsidR="00FE4D03" w:rsidRPr="00FE4D03" w:rsidRDefault="0072509B" w:rsidP="00FE4D03">
      <w:pPr>
        <w:pStyle w:val="ListParagraph"/>
        <w:widowControl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 w:rsidRPr="00FE4D03">
        <w:rPr>
          <w:rFonts w:ascii="Arial" w:hAnsi="Arial" w:cs="Arial"/>
          <w:b/>
          <w:sz w:val="21"/>
          <w:szCs w:val="21"/>
        </w:rPr>
        <w:t>Micro-purchases</w:t>
      </w:r>
      <w:r w:rsidR="00024C50">
        <w:rPr>
          <w:rFonts w:ascii="Arial" w:hAnsi="Arial" w:cs="Arial"/>
          <w:b/>
          <w:sz w:val="21"/>
          <w:szCs w:val="21"/>
        </w:rPr>
        <w:t>—</w:t>
      </w:r>
      <w:r w:rsidR="001413EC">
        <w:rPr>
          <w:rFonts w:ascii="Arial" w:hAnsi="Arial" w:cs="Arial"/>
          <w:b/>
          <w:sz w:val="21"/>
          <w:szCs w:val="21"/>
        </w:rPr>
        <w:t xml:space="preserve">Purchases </w:t>
      </w:r>
      <w:r w:rsidRPr="00FE4D03">
        <w:rPr>
          <w:rFonts w:ascii="Arial" w:hAnsi="Arial" w:cs="Arial"/>
          <w:b/>
          <w:sz w:val="21"/>
          <w:szCs w:val="21"/>
        </w:rPr>
        <w:t>&lt; $</w:t>
      </w:r>
      <w:r w:rsidR="000D7A43">
        <w:rPr>
          <w:rFonts w:ascii="Arial" w:hAnsi="Arial" w:cs="Arial"/>
          <w:b/>
          <w:sz w:val="21"/>
          <w:szCs w:val="21"/>
        </w:rPr>
        <w:t>10</w:t>
      </w:r>
      <w:r w:rsidRPr="00FE4D03">
        <w:rPr>
          <w:rFonts w:ascii="Arial" w:hAnsi="Arial" w:cs="Arial"/>
          <w:b/>
          <w:sz w:val="21"/>
          <w:szCs w:val="21"/>
        </w:rPr>
        <w:t>,000</w:t>
      </w:r>
    </w:p>
    <w:p w:rsidR="00583367" w:rsidRDefault="00FE4D03" w:rsidP="00583367">
      <w:pPr>
        <w:pStyle w:val="ListParagraph"/>
        <w:widowControl/>
        <w:spacing w:after="160" w:line="259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Pr="00FE4D03">
        <w:rPr>
          <w:rFonts w:ascii="Arial" w:hAnsi="Arial" w:cs="Arial"/>
          <w:sz w:val="21"/>
          <w:szCs w:val="21"/>
        </w:rPr>
        <w:t xml:space="preserve">icro-purchases require fewer terms and conditions, have a lesser competition standard than purchases over the threshold, can be solicited informally, and do not require a cost or price analysis. </w:t>
      </w:r>
      <w:r w:rsidR="0072509B" w:rsidRPr="00455496">
        <w:rPr>
          <w:rFonts w:ascii="Arial" w:hAnsi="Arial" w:cs="Arial"/>
          <w:sz w:val="21"/>
          <w:szCs w:val="21"/>
        </w:rPr>
        <w:t>Purchase Orders may be issued without soliciting competitive quotations if the cost is considered to be</w:t>
      </w:r>
      <w:r w:rsidR="0072509B">
        <w:rPr>
          <w:rFonts w:ascii="Arial" w:hAnsi="Arial" w:cs="Arial"/>
          <w:sz w:val="21"/>
          <w:szCs w:val="21"/>
        </w:rPr>
        <w:t xml:space="preserve"> fair and</w:t>
      </w:r>
      <w:r w:rsidR="00685EC1">
        <w:rPr>
          <w:rFonts w:ascii="Arial" w:hAnsi="Arial" w:cs="Arial"/>
          <w:sz w:val="21"/>
          <w:szCs w:val="21"/>
        </w:rPr>
        <w:t xml:space="preserve"> </w:t>
      </w:r>
      <w:r w:rsidR="0072509B" w:rsidRPr="00455496">
        <w:rPr>
          <w:rFonts w:ascii="Arial" w:hAnsi="Arial" w:cs="Arial"/>
          <w:sz w:val="21"/>
          <w:szCs w:val="21"/>
        </w:rPr>
        <w:t>reasonable. To the extent practicable, distribution of micro-purchases should be made equitably among qualified suppliers.</w:t>
      </w:r>
      <w:r w:rsidR="0072509B">
        <w:rPr>
          <w:rFonts w:ascii="Arial" w:hAnsi="Arial" w:cs="Arial"/>
          <w:sz w:val="21"/>
          <w:szCs w:val="21"/>
        </w:rPr>
        <w:t xml:space="preserve"> Splitting procurement</w:t>
      </w:r>
      <w:r w:rsidR="00583367">
        <w:rPr>
          <w:rFonts w:ascii="Arial" w:hAnsi="Arial" w:cs="Arial"/>
          <w:sz w:val="21"/>
          <w:szCs w:val="21"/>
        </w:rPr>
        <w:t>s</w:t>
      </w:r>
      <w:r w:rsidR="0072509B">
        <w:rPr>
          <w:rFonts w:ascii="Arial" w:hAnsi="Arial" w:cs="Arial"/>
          <w:sz w:val="21"/>
          <w:szCs w:val="21"/>
        </w:rPr>
        <w:t xml:space="preserve"> to avoid competition is prohibited.</w:t>
      </w:r>
    </w:p>
    <w:p w:rsidR="0072509B" w:rsidRPr="00583367" w:rsidRDefault="0072509B" w:rsidP="00583367">
      <w:pPr>
        <w:pStyle w:val="ListParagraph"/>
        <w:widowControl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 w:rsidRPr="00583367">
        <w:rPr>
          <w:rFonts w:ascii="Arial" w:hAnsi="Arial" w:cs="Arial"/>
          <w:b/>
          <w:sz w:val="21"/>
          <w:szCs w:val="21"/>
        </w:rPr>
        <w:t>Small Purchases—</w:t>
      </w:r>
      <w:r w:rsidR="001413EC">
        <w:rPr>
          <w:rFonts w:ascii="Arial" w:hAnsi="Arial" w:cs="Arial"/>
          <w:b/>
          <w:sz w:val="21"/>
          <w:szCs w:val="21"/>
        </w:rPr>
        <w:t>Purchases</w:t>
      </w:r>
      <w:r w:rsidRPr="00583367">
        <w:rPr>
          <w:rFonts w:ascii="Arial" w:hAnsi="Arial" w:cs="Arial"/>
          <w:b/>
          <w:sz w:val="21"/>
          <w:szCs w:val="21"/>
        </w:rPr>
        <w:t xml:space="preserve"> $</w:t>
      </w:r>
      <w:r w:rsidR="000D7A43">
        <w:rPr>
          <w:rFonts w:ascii="Arial" w:hAnsi="Arial" w:cs="Arial"/>
          <w:b/>
          <w:sz w:val="21"/>
          <w:szCs w:val="21"/>
        </w:rPr>
        <w:t>10</w:t>
      </w:r>
      <w:r w:rsidRPr="00583367">
        <w:rPr>
          <w:rFonts w:ascii="Arial" w:hAnsi="Arial" w:cs="Arial"/>
          <w:b/>
          <w:sz w:val="21"/>
          <w:szCs w:val="21"/>
        </w:rPr>
        <w:t>,001 to $</w:t>
      </w:r>
      <w:r w:rsidR="000D7A43">
        <w:rPr>
          <w:rFonts w:ascii="Arial" w:hAnsi="Arial" w:cs="Arial"/>
          <w:b/>
          <w:sz w:val="21"/>
          <w:szCs w:val="21"/>
        </w:rPr>
        <w:t>2</w:t>
      </w:r>
      <w:r w:rsidRPr="00583367">
        <w:rPr>
          <w:rFonts w:ascii="Arial" w:hAnsi="Arial" w:cs="Arial"/>
          <w:b/>
          <w:sz w:val="21"/>
          <w:szCs w:val="21"/>
        </w:rPr>
        <w:t xml:space="preserve">50,000 </w:t>
      </w:r>
    </w:p>
    <w:p w:rsidR="00583367" w:rsidRPr="00F17C5B" w:rsidRDefault="00583367" w:rsidP="00583367">
      <w:pPr>
        <w:pStyle w:val="ListParagraph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</w:t>
      </w:r>
      <w:r w:rsidR="0072509B" w:rsidRPr="00455496">
        <w:rPr>
          <w:rFonts w:ascii="Arial" w:hAnsi="Arial" w:cs="Arial"/>
          <w:sz w:val="21"/>
          <w:szCs w:val="21"/>
        </w:rPr>
        <w:t xml:space="preserve">uotations </w:t>
      </w:r>
      <w:r w:rsidR="0072509B" w:rsidRPr="00455496">
        <w:rPr>
          <w:rFonts w:ascii="Arial" w:hAnsi="Arial" w:cs="Arial"/>
          <w:b/>
          <w:sz w:val="21"/>
          <w:szCs w:val="21"/>
        </w:rPr>
        <w:t>must</w:t>
      </w:r>
      <w:r w:rsidR="0072509B" w:rsidRPr="00455496">
        <w:rPr>
          <w:rFonts w:ascii="Arial" w:hAnsi="Arial" w:cs="Arial"/>
          <w:sz w:val="21"/>
          <w:szCs w:val="21"/>
        </w:rPr>
        <w:t xml:space="preserve"> be obtained from an adequate number of qualified sources. </w:t>
      </w:r>
      <w:r w:rsidR="0072509B">
        <w:rPr>
          <w:rFonts w:ascii="Arial" w:hAnsi="Arial" w:cs="Arial"/>
          <w:sz w:val="21"/>
          <w:szCs w:val="21"/>
        </w:rPr>
        <w:t>Use d</w:t>
      </w:r>
      <w:r w:rsidR="0072509B" w:rsidRPr="00455496">
        <w:rPr>
          <w:rFonts w:ascii="Arial" w:hAnsi="Arial" w:cs="Arial"/>
          <w:sz w:val="21"/>
          <w:szCs w:val="21"/>
        </w:rPr>
        <w:t xml:space="preserve">iscretion </w:t>
      </w:r>
      <w:r w:rsidR="0072509B" w:rsidRPr="00F17C5B">
        <w:rPr>
          <w:rFonts w:ascii="Arial" w:hAnsi="Arial" w:cs="Arial"/>
          <w:sz w:val="21"/>
          <w:szCs w:val="21"/>
        </w:rPr>
        <w:t xml:space="preserve">when determining the adequate number of qualified sources and methods of obtaining quotations. Quotations may be obtained in writing or orally from a </w:t>
      </w:r>
      <w:r w:rsidR="00024C50" w:rsidRPr="00F17C5B">
        <w:rPr>
          <w:rFonts w:ascii="Arial" w:hAnsi="Arial" w:cs="Arial"/>
          <w:sz w:val="21"/>
          <w:szCs w:val="21"/>
        </w:rPr>
        <w:t xml:space="preserve">supplier, or via the Internet. </w:t>
      </w:r>
      <w:r w:rsidR="0072509B" w:rsidRPr="00F17C5B">
        <w:rPr>
          <w:rFonts w:ascii="Arial" w:hAnsi="Arial" w:cs="Arial"/>
          <w:sz w:val="21"/>
          <w:szCs w:val="21"/>
        </w:rPr>
        <w:t xml:space="preserve">Quotations </w:t>
      </w:r>
      <w:r w:rsidR="001413EC" w:rsidRPr="00F17C5B">
        <w:rPr>
          <w:rFonts w:ascii="Arial" w:hAnsi="Arial" w:cs="Arial"/>
          <w:sz w:val="21"/>
          <w:szCs w:val="21"/>
        </w:rPr>
        <w:t>do not require a co</w:t>
      </w:r>
      <w:r w:rsidR="0072509B" w:rsidRPr="00F17C5B">
        <w:rPr>
          <w:rFonts w:ascii="Arial" w:hAnsi="Arial" w:cs="Arial"/>
          <w:sz w:val="21"/>
          <w:szCs w:val="21"/>
        </w:rPr>
        <w:t xml:space="preserve">st or price analysis. </w:t>
      </w:r>
    </w:p>
    <w:p w:rsidR="0072509B" w:rsidRPr="00F17C5B" w:rsidRDefault="00024C50" w:rsidP="00583367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F17C5B">
        <w:rPr>
          <w:rFonts w:ascii="Arial" w:hAnsi="Arial" w:cs="Arial"/>
          <w:b/>
          <w:sz w:val="21"/>
          <w:szCs w:val="21"/>
        </w:rPr>
        <w:t>Sealed-</w:t>
      </w:r>
      <w:r w:rsidR="00583367" w:rsidRPr="00F17C5B">
        <w:rPr>
          <w:rFonts w:ascii="Arial" w:hAnsi="Arial" w:cs="Arial"/>
          <w:b/>
          <w:sz w:val="21"/>
          <w:szCs w:val="21"/>
        </w:rPr>
        <w:t xml:space="preserve">Bid </w:t>
      </w:r>
      <w:r w:rsidR="0072509B" w:rsidRPr="00F17C5B">
        <w:rPr>
          <w:rFonts w:ascii="Arial" w:hAnsi="Arial" w:cs="Arial"/>
          <w:b/>
          <w:sz w:val="21"/>
          <w:szCs w:val="21"/>
        </w:rPr>
        <w:t xml:space="preserve">Purchases &gt; Simplified Acquisition Threshold </w:t>
      </w:r>
      <w:r w:rsidR="001413EC" w:rsidRPr="00F17C5B">
        <w:rPr>
          <w:rFonts w:ascii="Arial" w:hAnsi="Arial" w:cs="Arial"/>
          <w:b/>
          <w:sz w:val="21"/>
          <w:szCs w:val="21"/>
        </w:rPr>
        <w:t>($</w:t>
      </w:r>
      <w:r w:rsidR="000D7A43">
        <w:rPr>
          <w:rFonts w:ascii="Arial" w:hAnsi="Arial" w:cs="Arial"/>
          <w:b/>
          <w:sz w:val="21"/>
          <w:szCs w:val="21"/>
        </w:rPr>
        <w:t>2</w:t>
      </w:r>
      <w:r w:rsidR="001413EC" w:rsidRPr="00F17C5B">
        <w:rPr>
          <w:rFonts w:ascii="Arial" w:hAnsi="Arial" w:cs="Arial"/>
          <w:b/>
          <w:sz w:val="21"/>
          <w:szCs w:val="21"/>
        </w:rPr>
        <w:t>50,000)</w:t>
      </w:r>
    </w:p>
    <w:p w:rsidR="00583367" w:rsidRPr="00F17C5B" w:rsidRDefault="00583367" w:rsidP="00583367">
      <w:pPr>
        <w:pStyle w:val="ListParagraph"/>
        <w:ind w:left="720"/>
        <w:rPr>
          <w:rFonts w:ascii="Arial" w:hAnsi="Arial" w:cs="Arial"/>
          <w:sz w:val="21"/>
          <w:szCs w:val="21"/>
        </w:rPr>
      </w:pPr>
      <w:r w:rsidRPr="00F17C5B">
        <w:rPr>
          <w:rFonts w:ascii="Arial" w:hAnsi="Arial" w:cs="Arial"/>
          <w:sz w:val="21"/>
          <w:szCs w:val="21"/>
        </w:rPr>
        <w:t>The s</w:t>
      </w:r>
      <w:r w:rsidR="0072509B" w:rsidRPr="00F17C5B">
        <w:rPr>
          <w:rFonts w:ascii="Arial" w:hAnsi="Arial" w:cs="Arial"/>
          <w:sz w:val="21"/>
          <w:szCs w:val="21"/>
        </w:rPr>
        <w:t>ealed</w:t>
      </w:r>
      <w:r w:rsidR="00F17C5B">
        <w:rPr>
          <w:rFonts w:ascii="Arial" w:hAnsi="Arial" w:cs="Arial"/>
          <w:sz w:val="21"/>
          <w:szCs w:val="21"/>
        </w:rPr>
        <w:t>-</w:t>
      </w:r>
      <w:r w:rsidR="0072509B" w:rsidRPr="00F17C5B">
        <w:rPr>
          <w:rFonts w:ascii="Arial" w:hAnsi="Arial" w:cs="Arial"/>
          <w:sz w:val="21"/>
          <w:szCs w:val="21"/>
        </w:rPr>
        <w:t xml:space="preserve">bid procurement method </w:t>
      </w:r>
      <w:r w:rsidRPr="00F17C5B">
        <w:rPr>
          <w:rFonts w:ascii="Arial" w:hAnsi="Arial" w:cs="Arial"/>
          <w:sz w:val="21"/>
          <w:szCs w:val="21"/>
        </w:rPr>
        <w:t xml:space="preserve">is used </w:t>
      </w:r>
      <w:r w:rsidR="0072509B" w:rsidRPr="00F17C5B">
        <w:rPr>
          <w:rFonts w:ascii="Arial" w:hAnsi="Arial" w:cs="Arial"/>
          <w:sz w:val="21"/>
          <w:szCs w:val="21"/>
        </w:rPr>
        <w:t xml:space="preserve">when specific parameters are defined and price will be the only consideration for award. </w:t>
      </w:r>
      <w:r w:rsidR="001A5CC1" w:rsidRPr="00F17C5B">
        <w:rPr>
          <w:rFonts w:ascii="Arial" w:hAnsi="Arial" w:cs="Arial"/>
          <w:sz w:val="21"/>
          <w:szCs w:val="21"/>
        </w:rPr>
        <w:t>Follow the Invitation for Bids (IFB) procedures.</w:t>
      </w:r>
    </w:p>
    <w:p w:rsidR="0072509B" w:rsidRPr="00F17C5B" w:rsidRDefault="00583367" w:rsidP="00583367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F17C5B">
        <w:rPr>
          <w:rFonts w:ascii="Arial" w:hAnsi="Arial" w:cs="Arial"/>
          <w:b/>
          <w:sz w:val="21"/>
          <w:szCs w:val="21"/>
        </w:rPr>
        <w:t xml:space="preserve">Competitive Proposal </w:t>
      </w:r>
      <w:r w:rsidR="0072509B" w:rsidRPr="00F17C5B">
        <w:rPr>
          <w:rFonts w:ascii="Arial" w:hAnsi="Arial" w:cs="Arial"/>
          <w:b/>
          <w:sz w:val="21"/>
          <w:szCs w:val="21"/>
        </w:rPr>
        <w:t>Purchases &gt; Simplified Acquisition T</w:t>
      </w:r>
      <w:r w:rsidRPr="00F17C5B">
        <w:rPr>
          <w:rFonts w:ascii="Arial" w:hAnsi="Arial" w:cs="Arial"/>
          <w:b/>
          <w:sz w:val="21"/>
          <w:szCs w:val="21"/>
        </w:rPr>
        <w:t>hreshold</w:t>
      </w:r>
      <w:r w:rsidR="001413EC" w:rsidRPr="00F17C5B">
        <w:rPr>
          <w:rFonts w:ascii="Arial" w:hAnsi="Arial" w:cs="Arial"/>
          <w:b/>
          <w:sz w:val="21"/>
          <w:szCs w:val="21"/>
        </w:rPr>
        <w:t xml:space="preserve"> ($</w:t>
      </w:r>
      <w:r w:rsidR="000D7A43">
        <w:rPr>
          <w:rFonts w:ascii="Arial" w:hAnsi="Arial" w:cs="Arial"/>
          <w:b/>
          <w:sz w:val="21"/>
          <w:szCs w:val="21"/>
        </w:rPr>
        <w:t>2</w:t>
      </w:r>
      <w:r w:rsidR="001413EC" w:rsidRPr="00F17C5B">
        <w:rPr>
          <w:rFonts w:ascii="Arial" w:hAnsi="Arial" w:cs="Arial"/>
          <w:b/>
          <w:sz w:val="21"/>
          <w:szCs w:val="21"/>
        </w:rPr>
        <w:t>50,000)</w:t>
      </w:r>
    </w:p>
    <w:p w:rsidR="00583367" w:rsidRDefault="00583367" w:rsidP="00583367">
      <w:pPr>
        <w:pStyle w:val="ListParagraph"/>
        <w:ind w:left="720"/>
        <w:rPr>
          <w:rFonts w:ascii="Arial" w:hAnsi="Arial" w:cs="Arial"/>
          <w:sz w:val="21"/>
          <w:szCs w:val="21"/>
        </w:rPr>
      </w:pPr>
      <w:r w:rsidRPr="00F17C5B">
        <w:rPr>
          <w:rFonts w:ascii="Arial" w:hAnsi="Arial" w:cs="Arial"/>
          <w:sz w:val="21"/>
          <w:szCs w:val="21"/>
        </w:rPr>
        <w:t xml:space="preserve">The </w:t>
      </w:r>
      <w:r w:rsidR="00024C50" w:rsidRPr="00F17C5B">
        <w:rPr>
          <w:rFonts w:ascii="Arial" w:hAnsi="Arial" w:cs="Arial"/>
          <w:sz w:val="21"/>
          <w:szCs w:val="21"/>
        </w:rPr>
        <w:t>competitive-</w:t>
      </w:r>
      <w:r w:rsidR="0072509B" w:rsidRPr="00F17C5B">
        <w:rPr>
          <w:rFonts w:ascii="Arial" w:hAnsi="Arial" w:cs="Arial"/>
          <w:sz w:val="21"/>
          <w:szCs w:val="21"/>
        </w:rPr>
        <w:t xml:space="preserve">proposal procurement method </w:t>
      </w:r>
      <w:r w:rsidRPr="00F17C5B">
        <w:rPr>
          <w:rFonts w:ascii="Arial" w:hAnsi="Arial" w:cs="Arial"/>
          <w:sz w:val="21"/>
          <w:szCs w:val="21"/>
        </w:rPr>
        <w:t xml:space="preserve">is used </w:t>
      </w:r>
      <w:r w:rsidR="0072509B" w:rsidRPr="00F17C5B">
        <w:rPr>
          <w:rFonts w:ascii="Arial" w:hAnsi="Arial" w:cs="Arial"/>
          <w:sz w:val="21"/>
          <w:szCs w:val="21"/>
        </w:rPr>
        <w:t>when there a</w:t>
      </w:r>
      <w:r w:rsidRPr="00F17C5B">
        <w:rPr>
          <w:rFonts w:ascii="Arial" w:hAnsi="Arial" w:cs="Arial"/>
          <w:sz w:val="21"/>
          <w:szCs w:val="21"/>
        </w:rPr>
        <w:t>re</w:t>
      </w:r>
      <w:r w:rsidR="0072509B" w:rsidRPr="00F17C5B">
        <w:rPr>
          <w:rFonts w:ascii="Arial" w:hAnsi="Arial" w:cs="Arial"/>
          <w:sz w:val="21"/>
          <w:szCs w:val="21"/>
        </w:rPr>
        <w:t xml:space="preserve"> critical factors to consider beyond just price. Follow the</w:t>
      </w:r>
      <w:r w:rsidR="0072509B">
        <w:rPr>
          <w:rFonts w:ascii="Arial" w:hAnsi="Arial" w:cs="Arial"/>
          <w:sz w:val="21"/>
          <w:szCs w:val="21"/>
        </w:rPr>
        <w:t xml:space="preserve"> Request fo</w:t>
      </w:r>
      <w:r w:rsidR="001A5CC1">
        <w:rPr>
          <w:rFonts w:ascii="Arial" w:hAnsi="Arial" w:cs="Arial"/>
          <w:sz w:val="21"/>
          <w:szCs w:val="21"/>
        </w:rPr>
        <w:t>r Proposals (RFP) procedures.</w:t>
      </w:r>
    </w:p>
    <w:p w:rsidR="0072509B" w:rsidRPr="00583367" w:rsidRDefault="0072509B" w:rsidP="00583367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583367">
        <w:rPr>
          <w:rFonts w:ascii="Arial" w:hAnsi="Arial" w:cs="Arial"/>
          <w:b/>
          <w:sz w:val="21"/>
          <w:szCs w:val="21"/>
        </w:rPr>
        <w:t>Noncompetitive Purchases</w:t>
      </w:r>
    </w:p>
    <w:p w:rsidR="00CD2AA2" w:rsidRDefault="0072509B" w:rsidP="000C4A0C">
      <w:pPr>
        <w:pStyle w:val="ListParagraph"/>
        <w:ind w:left="720"/>
        <w:rPr>
          <w:rFonts w:ascii="Arial" w:hAnsi="Arial" w:cs="Arial"/>
          <w:sz w:val="21"/>
          <w:szCs w:val="21"/>
        </w:rPr>
      </w:pPr>
      <w:r w:rsidRPr="00455496">
        <w:rPr>
          <w:rFonts w:ascii="Arial" w:hAnsi="Arial" w:cs="Arial"/>
          <w:sz w:val="21"/>
          <w:szCs w:val="21"/>
        </w:rPr>
        <w:t>Special circumstances must be present and applicable</w:t>
      </w:r>
      <w:r w:rsidR="001A5CC1">
        <w:rPr>
          <w:rFonts w:ascii="Arial" w:hAnsi="Arial" w:cs="Arial"/>
          <w:sz w:val="21"/>
          <w:szCs w:val="21"/>
        </w:rPr>
        <w:t xml:space="preserve"> for noncompetitive purchases</w:t>
      </w:r>
      <w:r>
        <w:rPr>
          <w:rFonts w:ascii="Arial" w:hAnsi="Arial" w:cs="Arial"/>
          <w:sz w:val="21"/>
          <w:szCs w:val="21"/>
        </w:rPr>
        <w:t xml:space="preserve">. </w:t>
      </w:r>
      <w:r w:rsidRPr="00455496">
        <w:rPr>
          <w:rFonts w:ascii="Arial" w:hAnsi="Arial" w:cs="Arial"/>
          <w:sz w:val="21"/>
          <w:szCs w:val="21"/>
        </w:rPr>
        <w:t xml:space="preserve">Follow </w:t>
      </w:r>
      <w:r w:rsidR="001A5CC1">
        <w:rPr>
          <w:rFonts w:ascii="Arial" w:hAnsi="Arial" w:cs="Arial"/>
          <w:sz w:val="21"/>
          <w:szCs w:val="21"/>
        </w:rPr>
        <w:t xml:space="preserve">the </w:t>
      </w:r>
      <w:r w:rsidRPr="00455496">
        <w:rPr>
          <w:rFonts w:ascii="Arial" w:hAnsi="Arial" w:cs="Arial"/>
          <w:sz w:val="21"/>
          <w:szCs w:val="21"/>
        </w:rPr>
        <w:t xml:space="preserve">Sole Source Certification procedures. </w:t>
      </w:r>
    </w:p>
    <w:p w:rsidR="00077DBD" w:rsidRDefault="00077DBD" w:rsidP="000C4A0C">
      <w:pPr>
        <w:pStyle w:val="ListParagraph"/>
        <w:ind w:left="720"/>
        <w:rPr>
          <w:rFonts w:ascii="Arial" w:hAnsi="Arial" w:cs="Arial"/>
          <w:sz w:val="21"/>
          <w:szCs w:val="21"/>
        </w:rPr>
      </w:pPr>
    </w:p>
    <w:p w:rsidR="00077DBD" w:rsidRPr="00135755" w:rsidRDefault="00077DBD" w:rsidP="00077DBD">
      <w:pPr>
        <w:pStyle w:val="ListParagraph"/>
        <w:ind w:left="720"/>
        <w:rPr>
          <w:rFonts w:ascii="Arial" w:hAnsi="Arial" w:cs="Arial"/>
          <w:sz w:val="21"/>
          <w:szCs w:val="21"/>
          <w:u w:val="single"/>
        </w:rPr>
      </w:pPr>
      <w:r w:rsidRPr="00135755">
        <w:rPr>
          <w:rFonts w:ascii="Arial" w:hAnsi="Arial" w:cs="Arial"/>
          <w:sz w:val="21"/>
          <w:szCs w:val="21"/>
          <w:u w:val="single"/>
        </w:rPr>
        <w:t>References:</w:t>
      </w:r>
    </w:p>
    <w:p w:rsidR="00135755" w:rsidRDefault="00135755" w:rsidP="00077DBD">
      <w:pPr>
        <w:pStyle w:val="ListParagraph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Office of Management and Budget memo </w:t>
      </w:r>
      <w:hyperlink r:id="rId13" w:history="1">
        <w:r w:rsidRPr="006F6471">
          <w:rPr>
            <w:rStyle w:val="Hyperlink"/>
            <w:rFonts w:ascii="Arial" w:hAnsi="Arial" w:cs="Arial"/>
            <w:sz w:val="21"/>
            <w:szCs w:val="21"/>
          </w:rPr>
          <w:t>M-18-18</w:t>
        </w:r>
      </w:hyperlink>
      <w:r>
        <w:rPr>
          <w:rFonts w:ascii="Arial" w:hAnsi="Arial" w:cs="Arial"/>
          <w:sz w:val="21"/>
          <w:szCs w:val="21"/>
        </w:rPr>
        <w:t xml:space="preserve">  dated June 20, 2018 </w:t>
      </w:r>
    </w:p>
    <w:p w:rsidR="00077DBD" w:rsidRDefault="00077DBD" w:rsidP="00077DBD">
      <w:pPr>
        <w:pStyle w:val="ListParagraph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 of Management and Budget (OMB) Revised FAQs (Updated July 2017)</w:t>
      </w:r>
    </w:p>
    <w:p w:rsidR="00077DBD" w:rsidRDefault="001F25A2" w:rsidP="00077DBD">
      <w:pPr>
        <w:pStyle w:val="ListParagraph"/>
        <w:ind w:left="720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14" w:history="1">
        <w:r w:rsidR="00077DBD" w:rsidRPr="00455496">
          <w:rPr>
            <w:rStyle w:val="Hyperlink"/>
            <w:rFonts w:ascii="Arial" w:hAnsi="Arial" w:cs="Arial"/>
            <w:sz w:val="21"/>
            <w:szCs w:val="21"/>
          </w:rPr>
          <w:t>§200.318</w:t>
        </w:r>
      </w:hyperlink>
      <w:r w:rsidR="00077DBD" w:rsidRPr="00F80043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, </w:t>
      </w:r>
      <w:hyperlink r:id="rId15" w:history="1">
        <w:r w:rsidR="00077DBD" w:rsidRPr="00455496">
          <w:rPr>
            <w:rStyle w:val="Hyperlink"/>
            <w:rFonts w:ascii="Arial" w:hAnsi="Arial" w:cs="Arial"/>
            <w:sz w:val="21"/>
            <w:szCs w:val="21"/>
          </w:rPr>
          <w:t>Code of Federal Regulations (CRF)</w:t>
        </w:r>
      </w:hyperlink>
    </w:p>
    <w:p w:rsidR="00077DBD" w:rsidRDefault="001F25A2" w:rsidP="00077DBD">
      <w:pPr>
        <w:pStyle w:val="ListParagraph"/>
        <w:ind w:left="720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16" w:history="1">
        <w:r w:rsidR="00077DBD" w:rsidRPr="00455496">
          <w:rPr>
            <w:rStyle w:val="Hyperlink"/>
            <w:rFonts w:ascii="Arial" w:hAnsi="Arial" w:cs="Arial"/>
            <w:sz w:val="21"/>
            <w:szCs w:val="21"/>
          </w:rPr>
          <w:t>§200.320</w:t>
        </w:r>
      </w:hyperlink>
      <w:r w:rsidR="00077DBD" w:rsidRPr="00F80043">
        <w:rPr>
          <w:rStyle w:val="Hyperlink"/>
          <w:rFonts w:ascii="Arial" w:hAnsi="Arial" w:cs="Arial"/>
          <w:color w:val="auto"/>
          <w:sz w:val="21"/>
          <w:szCs w:val="21"/>
        </w:rPr>
        <w:t>,</w:t>
      </w:r>
      <w:r w:rsidR="00077DBD" w:rsidRPr="00F80043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  <w:hyperlink r:id="rId17" w:history="1">
        <w:r w:rsidR="00077DBD" w:rsidRPr="00455496">
          <w:rPr>
            <w:rStyle w:val="Hyperlink"/>
            <w:rFonts w:ascii="Arial" w:hAnsi="Arial" w:cs="Arial"/>
            <w:sz w:val="21"/>
            <w:szCs w:val="21"/>
          </w:rPr>
          <w:t>Code of Federal Regulations (CRF)</w:t>
        </w:r>
      </w:hyperlink>
    </w:p>
    <w:p w:rsidR="00077DBD" w:rsidRDefault="00077DBD" w:rsidP="000C4A0C">
      <w:pPr>
        <w:pStyle w:val="ListParagraph"/>
        <w:ind w:left="720"/>
        <w:rPr>
          <w:rFonts w:ascii="Arial" w:hAnsi="Arial" w:cs="Arial"/>
          <w:sz w:val="21"/>
          <w:szCs w:val="21"/>
        </w:rPr>
      </w:pPr>
    </w:p>
    <w:sectPr w:rsidR="00077DBD" w:rsidSect="00024C50">
      <w:footerReference w:type="default" r:id="rId18"/>
      <w:headerReference w:type="first" r:id="rId19"/>
      <w:footerReference w:type="first" r:id="rId20"/>
      <w:type w:val="continuous"/>
      <w:pgSz w:w="12240" w:h="15840" w:code="1"/>
      <w:pgMar w:top="1296" w:right="1440" w:bottom="1296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A2" w:rsidRDefault="001F25A2" w:rsidP="000468B9">
      <w:r>
        <w:separator/>
      </w:r>
    </w:p>
  </w:endnote>
  <w:endnote w:type="continuationSeparator" w:id="0">
    <w:p w:rsidR="001F25A2" w:rsidRDefault="001F25A2" w:rsidP="0004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8D" w:rsidRDefault="0041488D" w:rsidP="00077DBD">
    <w:pPr>
      <w:pStyle w:val="Footer"/>
    </w:pPr>
  </w:p>
  <w:p w:rsidR="00077DBD" w:rsidRPr="00FD5356" w:rsidRDefault="00077DBD" w:rsidP="00077DBD">
    <w:pPr>
      <w:pStyle w:val="Footer"/>
      <w:jc w:val="right"/>
      <w:rPr>
        <w:sz w:val="12"/>
        <w:szCs w:val="12"/>
      </w:rPr>
    </w:pPr>
    <w:r w:rsidRPr="00FD5356">
      <w:rPr>
        <w:sz w:val="12"/>
        <w:szCs w:val="12"/>
      </w:rPr>
      <w:t>Pennsylvania’s State System of Higher Education</w:t>
    </w:r>
    <w:r>
      <w:rPr>
        <w:sz w:val="12"/>
        <w:szCs w:val="12"/>
      </w:rPr>
      <w:br/>
      <w:t>Strategic Sourcing and Sponsored Programs and Grant Development</w:t>
    </w:r>
    <w:r w:rsidRPr="00FD5356">
      <w:rPr>
        <w:sz w:val="12"/>
        <w:szCs w:val="12"/>
      </w:rPr>
      <w:br/>
      <w:t>Rev. 04-10-2018</w:t>
    </w:r>
  </w:p>
  <w:p w:rsidR="002C3AAB" w:rsidRDefault="002C3AAB" w:rsidP="00077DB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56" w:rsidRPr="00FD5356" w:rsidRDefault="00FD5356" w:rsidP="00FD5356">
    <w:pPr>
      <w:pStyle w:val="Footer"/>
      <w:jc w:val="right"/>
      <w:rPr>
        <w:sz w:val="12"/>
        <w:szCs w:val="12"/>
      </w:rPr>
    </w:pPr>
    <w:r w:rsidRPr="00FD5356">
      <w:rPr>
        <w:sz w:val="12"/>
        <w:szCs w:val="12"/>
      </w:rPr>
      <w:t>Pennsylvania’s State System of Higher Education</w:t>
    </w:r>
    <w:r w:rsidR="00CD2AA2">
      <w:rPr>
        <w:sz w:val="12"/>
        <w:szCs w:val="12"/>
      </w:rPr>
      <w:br/>
      <w:t>Strategic Sourcing and Sponsored Programs and Grant Development</w:t>
    </w:r>
    <w:r w:rsidRPr="00FD5356">
      <w:rPr>
        <w:sz w:val="12"/>
        <w:szCs w:val="12"/>
      </w:rPr>
      <w:br/>
      <w:t>Rev. 0</w:t>
    </w:r>
    <w:r w:rsidR="006F6471">
      <w:rPr>
        <w:sz w:val="12"/>
        <w:szCs w:val="12"/>
      </w:rPr>
      <w:t>6</w:t>
    </w:r>
    <w:r w:rsidRPr="00FD5356">
      <w:rPr>
        <w:sz w:val="12"/>
        <w:szCs w:val="12"/>
      </w:rPr>
      <w:t>-</w:t>
    </w:r>
    <w:r w:rsidR="006F6471">
      <w:rPr>
        <w:sz w:val="12"/>
        <w:szCs w:val="12"/>
      </w:rPr>
      <w:t>26</w:t>
    </w:r>
    <w:r w:rsidRPr="00FD5356">
      <w:rPr>
        <w:sz w:val="12"/>
        <w:szCs w:val="12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A2" w:rsidRDefault="001F25A2" w:rsidP="000468B9">
      <w:r>
        <w:separator/>
      </w:r>
    </w:p>
  </w:footnote>
  <w:footnote w:type="continuationSeparator" w:id="0">
    <w:p w:rsidR="001F25A2" w:rsidRDefault="001F25A2" w:rsidP="0004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3" w:rsidRPr="00024C50" w:rsidRDefault="00024C50" w:rsidP="002D0F33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8240" behindDoc="0" locked="0" layoutInCell="1" allowOverlap="1" wp14:anchorId="68C6721F" wp14:editId="32E40B4F">
          <wp:simplePos x="0" y="0"/>
          <wp:positionH relativeFrom="column">
            <wp:posOffset>-937260</wp:posOffset>
          </wp:positionH>
          <wp:positionV relativeFrom="paragraph">
            <wp:posOffset>-441960</wp:posOffset>
          </wp:positionV>
          <wp:extent cx="7773035" cy="1438910"/>
          <wp:effectExtent l="0" t="0" r="0" b="8890"/>
          <wp:wrapThrough wrapText="bothSides">
            <wp:wrapPolygon edited="0">
              <wp:start x="0" y="0"/>
              <wp:lineTo x="0" y="21447"/>
              <wp:lineTo x="21545" y="21447"/>
              <wp:lineTo x="2154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E01" w:rsidRDefault="005D6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31"/>
    <w:multiLevelType w:val="hybridMultilevel"/>
    <w:tmpl w:val="1E9EE8B2"/>
    <w:lvl w:ilvl="0" w:tplc="9F18EF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0137FB"/>
    <w:multiLevelType w:val="hybridMultilevel"/>
    <w:tmpl w:val="422E599E"/>
    <w:lvl w:ilvl="0" w:tplc="62B641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6161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0237"/>
    <w:multiLevelType w:val="hybridMultilevel"/>
    <w:tmpl w:val="0652D76E"/>
    <w:lvl w:ilvl="0" w:tplc="3556A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144"/>
    <w:multiLevelType w:val="hybridMultilevel"/>
    <w:tmpl w:val="1F86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D61"/>
    <w:multiLevelType w:val="hybridMultilevel"/>
    <w:tmpl w:val="C766448E"/>
    <w:lvl w:ilvl="0" w:tplc="62B641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6161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659"/>
    <w:multiLevelType w:val="hybridMultilevel"/>
    <w:tmpl w:val="681C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25A3"/>
    <w:multiLevelType w:val="hybridMultilevel"/>
    <w:tmpl w:val="869A6256"/>
    <w:lvl w:ilvl="0" w:tplc="33D26CE8">
      <w:start w:val="1"/>
      <w:numFmt w:val="decimal"/>
      <w:lvlText w:val="(%1)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31E01979"/>
    <w:multiLevelType w:val="hybridMultilevel"/>
    <w:tmpl w:val="CB5068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D2A2DA4"/>
    <w:multiLevelType w:val="hybridMultilevel"/>
    <w:tmpl w:val="4BBA99A0"/>
    <w:lvl w:ilvl="0" w:tplc="62B641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6161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A471D"/>
    <w:multiLevelType w:val="hybridMultilevel"/>
    <w:tmpl w:val="67B27B6C"/>
    <w:lvl w:ilvl="0" w:tplc="8304D70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B291FEB"/>
    <w:multiLevelType w:val="hybridMultilevel"/>
    <w:tmpl w:val="6BFC3A26"/>
    <w:lvl w:ilvl="0" w:tplc="62B641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6161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5A9C"/>
    <w:multiLevelType w:val="hybridMultilevel"/>
    <w:tmpl w:val="DEA0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018C"/>
    <w:multiLevelType w:val="hybridMultilevel"/>
    <w:tmpl w:val="B040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32191"/>
    <w:multiLevelType w:val="hybridMultilevel"/>
    <w:tmpl w:val="A3F0D344"/>
    <w:lvl w:ilvl="0" w:tplc="95869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0426F"/>
    <w:multiLevelType w:val="hybridMultilevel"/>
    <w:tmpl w:val="7368BCFC"/>
    <w:lvl w:ilvl="0" w:tplc="9232001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775377AD"/>
    <w:multiLevelType w:val="hybridMultilevel"/>
    <w:tmpl w:val="17B275BE"/>
    <w:lvl w:ilvl="0" w:tplc="81FAD7CA">
      <w:start w:val="1"/>
      <w:numFmt w:val="decimal"/>
      <w:lvlText w:val="%1."/>
      <w:lvlJc w:val="left"/>
      <w:pPr>
        <w:ind w:left="19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6" w15:restartNumberingAfterBreak="0">
    <w:nsid w:val="778747BF"/>
    <w:multiLevelType w:val="hybridMultilevel"/>
    <w:tmpl w:val="71DEEE82"/>
    <w:lvl w:ilvl="0" w:tplc="5F441F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A1C45E8"/>
    <w:multiLevelType w:val="hybridMultilevel"/>
    <w:tmpl w:val="611035CE"/>
    <w:lvl w:ilvl="0" w:tplc="969EB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27CF5"/>
    <w:multiLevelType w:val="hybridMultilevel"/>
    <w:tmpl w:val="AF803B7A"/>
    <w:lvl w:ilvl="0" w:tplc="E2D21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7A16"/>
    <w:multiLevelType w:val="hybridMultilevel"/>
    <w:tmpl w:val="5A9E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51BE"/>
    <w:multiLevelType w:val="hybridMultilevel"/>
    <w:tmpl w:val="B574DAF6"/>
    <w:lvl w:ilvl="0" w:tplc="C3F8A7A6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9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C"/>
    <w:rsid w:val="00006F34"/>
    <w:rsid w:val="00024C50"/>
    <w:rsid w:val="0003656A"/>
    <w:rsid w:val="000468B9"/>
    <w:rsid w:val="0006503E"/>
    <w:rsid w:val="00077DBD"/>
    <w:rsid w:val="000A0B41"/>
    <w:rsid w:val="000A5857"/>
    <w:rsid w:val="000A6CF8"/>
    <w:rsid w:val="000B2B93"/>
    <w:rsid w:val="000B63E7"/>
    <w:rsid w:val="000C4A0C"/>
    <w:rsid w:val="000C5544"/>
    <w:rsid w:val="000D7A43"/>
    <w:rsid w:val="000E547B"/>
    <w:rsid w:val="000E667C"/>
    <w:rsid w:val="00106A6A"/>
    <w:rsid w:val="00122719"/>
    <w:rsid w:val="00126B57"/>
    <w:rsid w:val="00135755"/>
    <w:rsid w:val="001413EC"/>
    <w:rsid w:val="001475C3"/>
    <w:rsid w:val="00152F3D"/>
    <w:rsid w:val="001710C5"/>
    <w:rsid w:val="00177D23"/>
    <w:rsid w:val="001815DD"/>
    <w:rsid w:val="0019096A"/>
    <w:rsid w:val="001A3F6D"/>
    <w:rsid w:val="001A5CC1"/>
    <w:rsid w:val="001B4645"/>
    <w:rsid w:val="001B5C69"/>
    <w:rsid w:val="001E3710"/>
    <w:rsid w:val="001F25A2"/>
    <w:rsid w:val="001F6790"/>
    <w:rsid w:val="002054AF"/>
    <w:rsid w:val="00216D81"/>
    <w:rsid w:val="00237745"/>
    <w:rsid w:val="0024177A"/>
    <w:rsid w:val="00243172"/>
    <w:rsid w:val="00246F09"/>
    <w:rsid w:val="00257DE2"/>
    <w:rsid w:val="00260F15"/>
    <w:rsid w:val="00273331"/>
    <w:rsid w:val="00285D42"/>
    <w:rsid w:val="002C3AAB"/>
    <w:rsid w:val="002C45DF"/>
    <w:rsid w:val="002D0F33"/>
    <w:rsid w:val="002F14DA"/>
    <w:rsid w:val="002F1A35"/>
    <w:rsid w:val="00303146"/>
    <w:rsid w:val="003102A2"/>
    <w:rsid w:val="0032329B"/>
    <w:rsid w:val="003440FC"/>
    <w:rsid w:val="003629F6"/>
    <w:rsid w:val="00366F2F"/>
    <w:rsid w:val="00372C7F"/>
    <w:rsid w:val="003732F4"/>
    <w:rsid w:val="003A425E"/>
    <w:rsid w:val="003B5CC4"/>
    <w:rsid w:val="003C0D2E"/>
    <w:rsid w:val="003D68BC"/>
    <w:rsid w:val="003E0EAE"/>
    <w:rsid w:val="003F0408"/>
    <w:rsid w:val="0041488D"/>
    <w:rsid w:val="00427EEB"/>
    <w:rsid w:val="00427EFD"/>
    <w:rsid w:val="004455CF"/>
    <w:rsid w:val="00451A31"/>
    <w:rsid w:val="0045245F"/>
    <w:rsid w:val="00475E34"/>
    <w:rsid w:val="00476A5F"/>
    <w:rsid w:val="00480187"/>
    <w:rsid w:val="004802BC"/>
    <w:rsid w:val="0049344E"/>
    <w:rsid w:val="00493F9B"/>
    <w:rsid w:val="00497EB8"/>
    <w:rsid w:val="004A3DF4"/>
    <w:rsid w:val="004C77D1"/>
    <w:rsid w:val="004C7B90"/>
    <w:rsid w:val="004F2BDD"/>
    <w:rsid w:val="00532DCD"/>
    <w:rsid w:val="00536858"/>
    <w:rsid w:val="00543AE2"/>
    <w:rsid w:val="00545F04"/>
    <w:rsid w:val="00565934"/>
    <w:rsid w:val="005753F5"/>
    <w:rsid w:val="00577E3C"/>
    <w:rsid w:val="00583367"/>
    <w:rsid w:val="005878DD"/>
    <w:rsid w:val="005B6F96"/>
    <w:rsid w:val="005C70ED"/>
    <w:rsid w:val="005D6E01"/>
    <w:rsid w:val="005F3C34"/>
    <w:rsid w:val="00604E23"/>
    <w:rsid w:val="00651136"/>
    <w:rsid w:val="00684F33"/>
    <w:rsid w:val="00685EC1"/>
    <w:rsid w:val="006930FA"/>
    <w:rsid w:val="006C502B"/>
    <w:rsid w:val="006C54CF"/>
    <w:rsid w:val="006F6471"/>
    <w:rsid w:val="0072181D"/>
    <w:rsid w:val="0072509B"/>
    <w:rsid w:val="007372E5"/>
    <w:rsid w:val="00786D53"/>
    <w:rsid w:val="00790652"/>
    <w:rsid w:val="00791079"/>
    <w:rsid w:val="00793474"/>
    <w:rsid w:val="00794448"/>
    <w:rsid w:val="0079675F"/>
    <w:rsid w:val="007A57E7"/>
    <w:rsid w:val="007B0653"/>
    <w:rsid w:val="007B2346"/>
    <w:rsid w:val="007D6A14"/>
    <w:rsid w:val="007E01FC"/>
    <w:rsid w:val="007F11EE"/>
    <w:rsid w:val="007F3B5C"/>
    <w:rsid w:val="007F6C10"/>
    <w:rsid w:val="00802A2F"/>
    <w:rsid w:val="00834E1D"/>
    <w:rsid w:val="00847992"/>
    <w:rsid w:val="00857FE7"/>
    <w:rsid w:val="00864955"/>
    <w:rsid w:val="00884B58"/>
    <w:rsid w:val="00890AD6"/>
    <w:rsid w:val="008A18B4"/>
    <w:rsid w:val="008A54F6"/>
    <w:rsid w:val="008C1448"/>
    <w:rsid w:val="008C5EDF"/>
    <w:rsid w:val="0090521E"/>
    <w:rsid w:val="00937A77"/>
    <w:rsid w:val="00946462"/>
    <w:rsid w:val="00954B73"/>
    <w:rsid w:val="00961764"/>
    <w:rsid w:val="0096652F"/>
    <w:rsid w:val="00981995"/>
    <w:rsid w:val="009A6C35"/>
    <w:rsid w:val="009B2F2D"/>
    <w:rsid w:val="009E300F"/>
    <w:rsid w:val="009F57B2"/>
    <w:rsid w:val="00A7110B"/>
    <w:rsid w:val="00A72FED"/>
    <w:rsid w:val="00A77C4E"/>
    <w:rsid w:val="00A8616F"/>
    <w:rsid w:val="00A90628"/>
    <w:rsid w:val="00AB479C"/>
    <w:rsid w:val="00AE3879"/>
    <w:rsid w:val="00B00034"/>
    <w:rsid w:val="00B263E8"/>
    <w:rsid w:val="00B3088E"/>
    <w:rsid w:val="00B3293D"/>
    <w:rsid w:val="00B332B1"/>
    <w:rsid w:val="00B3339F"/>
    <w:rsid w:val="00B435B1"/>
    <w:rsid w:val="00B456AB"/>
    <w:rsid w:val="00B6060F"/>
    <w:rsid w:val="00B725DC"/>
    <w:rsid w:val="00B85101"/>
    <w:rsid w:val="00BC4178"/>
    <w:rsid w:val="00BD4D9A"/>
    <w:rsid w:val="00C202AA"/>
    <w:rsid w:val="00C30D14"/>
    <w:rsid w:val="00C43F27"/>
    <w:rsid w:val="00C935CA"/>
    <w:rsid w:val="00C97976"/>
    <w:rsid w:val="00CB79D9"/>
    <w:rsid w:val="00CD2AA2"/>
    <w:rsid w:val="00CE37C2"/>
    <w:rsid w:val="00CE7B54"/>
    <w:rsid w:val="00CF1F04"/>
    <w:rsid w:val="00D14FB9"/>
    <w:rsid w:val="00D57FDA"/>
    <w:rsid w:val="00D610B7"/>
    <w:rsid w:val="00D67062"/>
    <w:rsid w:val="00D76186"/>
    <w:rsid w:val="00D76DD3"/>
    <w:rsid w:val="00D83BD4"/>
    <w:rsid w:val="00D94E17"/>
    <w:rsid w:val="00D96798"/>
    <w:rsid w:val="00DC07E5"/>
    <w:rsid w:val="00DD6347"/>
    <w:rsid w:val="00DE7ADC"/>
    <w:rsid w:val="00DF70F8"/>
    <w:rsid w:val="00E13A68"/>
    <w:rsid w:val="00E16430"/>
    <w:rsid w:val="00E3256B"/>
    <w:rsid w:val="00E60E41"/>
    <w:rsid w:val="00E7169B"/>
    <w:rsid w:val="00E856B1"/>
    <w:rsid w:val="00EB45C2"/>
    <w:rsid w:val="00EB4ED1"/>
    <w:rsid w:val="00F00130"/>
    <w:rsid w:val="00F03F48"/>
    <w:rsid w:val="00F06AA5"/>
    <w:rsid w:val="00F10674"/>
    <w:rsid w:val="00F11C34"/>
    <w:rsid w:val="00F17C5B"/>
    <w:rsid w:val="00F36761"/>
    <w:rsid w:val="00F41AA5"/>
    <w:rsid w:val="00F4652C"/>
    <w:rsid w:val="00F80043"/>
    <w:rsid w:val="00F812A2"/>
    <w:rsid w:val="00F96DAA"/>
    <w:rsid w:val="00FD3299"/>
    <w:rsid w:val="00FD32DA"/>
    <w:rsid w:val="00FD5356"/>
    <w:rsid w:val="00FD640D"/>
    <w:rsid w:val="00FE4D03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F2570"/>
  <w15:docId w15:val="{BE8E44B2-9362-4870-9820-D809A354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9052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521E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2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B9"/>
  </w:style>
  <w:style w:type="table" w:styleId="TableGrid">
    <w:name w:val="Table Grid"/>
    <w:basedOn w:val="TableNormal"/>
    <w:uiPriority w:val="39"/>
    <w:rsid w:val="007B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45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5CF"/>
  </w:style>
  <w:style w:type="character" w:styleId="FollowedHyperlink">
    <w:name w:val="FollowedHyperlink"/>
    <w:basedOn w:val="DefaultParagraphFont"/>
    <w:uiPriority w:val="99"/>
    <w:semiHidden/>
    <w:unhideWhenUsed/>
    <w:rsid w:val="009617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6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nasact.us12.list-2Dmanage.com_track_click-3Fu-3D61c76c4b320bf504df577d7d7-26id-3Ddbd92d5cae-26e-3D36f90fe7c7&amp;d=DwMFAg&amp;c=HS1CjnFyfzCL6mp0nkGYYw&amp;r=hMj0KhS0RRLIgiN7EJ0gNIx4aN8XAjHVImTqJ2ueuRM&amp;m=80YnXr3N2O3uJgukrs-pv0tkHc6tLHpV4H-wJZv9ozI&amp;s=eiejVT5lteIQflu75F_f3GJGmHlueT2H25KTf-nLEe0&amp;e=" TargetMode="External"/><Relationship Id="rId13" Type="http://schemas.openxmlformats.org/officeDocument/2006/relationships/hyperlink" Target="https://urldefense.proofpoint.com/v2/url?u=https-3A__nasact.us12.list-2Dmanage.com_track_click-3Fu-3D61c76c4b320bf504df577d7d7-26id-3Ddbd92d5cae-26e-3D36f90fe7c7&amp;d=DwMFAg&amp;c=HS1CjnFyfzCL6mp0nkGYYw&amp;r=hMj0KhS0RRLIgiN7EJ0gNIx4aN8XAjHVImTqJ2ueuRM&amp;m=80YnXr3N2O3uJgukrs-pv0tkHc6tLHpV4H-wJZv9ozI&amp;s=eiejVT5lteIQflu75F_f3GJGmHlueT2H25KTf-nLEe0&amp;e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is.state.pa.us/cfdocs/legis/LI/consCheck.cfm?txtType=HTM&amp;ttl=62" TargetMode="External"/><Relationship Id="rId17" Type="http://schemas.openxmlformats.org/officeDocument/2006/relationships/hyperlink" Target="https://www.gpo.gov/fdsys/granule/CFR-2014-title2-vol1/CFR-2014-title2-vol1-sec200-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po.gov/fdsys/pkg/CFR-2014-title2-vol1/xml/CFR-2014-title2-vol1-sec200-320.x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o.gov/fdsys/pkg/CFR-2014-title2-vol1/xml/CFR-2014-title2-vol1-sec200-318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po.gov/fdsys/granule/CFR-2014-title2-vol1/CFR-2014-title2-vol1-sec200-320" TargetMode="External"/><Relationship Id="rId10" Type="http://schemas.openxmlformats.org/officeDocument/2006/relationships/hyperlink" Target="https://www.gpo.gov/fdsys/granule/CFR-2014-title2-vol1/CFR-2014-title2-vol1-sec200-3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CFR-2014-title2-vol1/xml/CFR-2014-title2-vol1-sec200-320.xml" TargetMode="External"/><Relationship Id="rId14" Type="http://schemas.openxmlformats.org/officeDocument/2006/relationships/hyperlink" Target="https://www.gpo.gov/fdsys/pkg/CFR-2014-title2-vol1/xml/CFR-2014-title2-vol1-sec200-318.x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D9A2-C109-4B02-AA65-8D6D06DD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- 4500435370 - Memo to File</vt:lpstr>
    </vt:vector>
  </TitlesOfParts>
  <Company>PASSHE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- 4500435370 - Memo to File</dc:title>
  <dc:creator>90lvenneri</dc:creator>
  <cp:lastModifiedBy>Mandel, Jeffrey</cp:lastModifiedBy>
  <cp:revision>6</cp:revision>
  <cp:lastPrinted>2018-04-10T14:12:00Z</cp:lastPrinted>
  <dcterms:created xsi:type="dcterms:W3CDTF">2018-06-26T11:58:00Z</dcterms:created>
  <dcterms:modified xsi:type="dcterms:W3CDTF">2018-06-26T12:19:00Z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2014-09-23T00:00:00Z</vt:filetime>
  </property>
</Properties>
</file>